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3A" w:rsidRPr="00A7589C" w:rsidRDefault="00BC5D43" w:rsidP="00BC5D43">
      <w:pPr>
        <w:spacing w:line="209" w:lineRule="atLeast"/>
        <w:ind w:left="360" w:hanging="360"/>
        <w:jc w:val="center"/>
        <w:rPr>
          <w:rFonts w:ascii="Times New Roman" w:eastAsia="Times New Roman" w:hAnsi="Times New Roman" w:cs="Times New Roman"/>
          <w:color w:val="000000"/>
          <w:sz w:val="14"/>
          <w:szCs w:val="14"/>
          <w:lang w:val="en-US" w:eastAsia="en-IN"/>
        </w:rPr>
      </w:pPr>
      <w:r>
        <w:rPr>
          <w:rFonts w:cstheme="minorHAnsi"/>
          <w:b/>
          <w:bCs/>
        </w:rPr>
        <w:t xml:space="preserve">                </w:t>
      </w:r>
      <w:r w:rsidRPr="00442BB2">
        <w:rPr>
          <w:rFonts w:cstheme="minorHAnsi"/>
          <w:b/>
          <w:bCs/>
        </w:rPr>
        <w:t>ATC (Additional Terms and Conditions)</w:t>
      </w:r>
      <w:r>
        <w:rPr>
          <w:rFonts w:cstheme="minorHAnsi"/>
          <w:b/>
          <w:bCs/>
        </w:rPr>
        <w:t xml:space="preserve">  </w:t>
      </w:r>
    </w:p>
    <w:tbl>
      <w:tblPr>
        <w:tblW w:w="965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9"/>
      </w:tblGrid>
      <w:tr w:rsidR="0020573A" w:rsidRPr="00442BB2" w:rsidTr="008C55DE">
        <w:trPr>
          <w:trHeight w:val="455"/>
        </w:trPr>
        <w:tc>
          <w:tcPr>
            <w:tcW w:w="9659" w:type="dxa"/>
            <w:tcMar>
              <w:top w:w="28" w:type="dxa"/>
              <w:left w:w="28" w:type="dxa"/>
              <w:bottom w:w="28" w:type="dxa"/>
              <w:right w:w="28" w:type="dxa"/>
            </w:tcMar>
            <w:vAlign w:val="center"/>
          </w:tcPr>
          <w:p w:rsidR="00BC5D43" w:rsidRPr="00BC5D43" w:rsidRDefault="00BC5D43" w:rsidP="00BC5D43">
            <w:pPr>
              <w:spacing w:before="100" w:beforeAutospacing="1" w:after="100" w:afterAutospacing="1"/>
              <w:rPr>
                <w:rFonts w:cstheme="minorHAnsi"/>
                <w:b/>
                <w:bCs/>
              </w:rPr>
            </w:pPr>
            <w:r>
              <w:rPr>
                <w:rFonts w:cstheme="minorHAnsi"/>
                <w:b/>
                <w:bCs/>
              </w:rPr>
              <w:t xml:space="preserve">                                                       </w:t>
            </w:r>
            <w:r w:rsidRPr="00BC5D43">
              <w:rPr>
                <w:rFonts w:cstheme="minorHAnsi"/>
                <w:b/>
                <w:bCs/>
              </w:rPr>
              <w:t>Technical Specifications which is mandatory</w:t>
            </w:r>
          </w:p>
        </w:tc>
      </w:tr>
      <w:tr w:rsidR="0020573A" w:rsidRPr="0016397E" w:rsidTr="008C55DE">
        <w:trPr>
          <w:trHeight w:val="2637"/>
        </w:trPr>
        <w:tc>
          <w:tcPr>
            <w:tcW w:w="9659" w:type="dxa"/>
            <w:tcMar>
              <w:top w:w="28" w:type="dxa"/>
              <w:left w:w="28" w:type="dxa"/>
              <w:bottom w:w="28" w:type="dxa"/>
              <w:right w:w="28" w:type="dxa"/>
            </w:tcMar>
          </w:tcPr>
          <w:p w:rsidR="0020573A" w:rsidRPr="00442BB2" w:rsidRDefault="0020573A" w:rsidP="008C55DE">
            <w:pPr>
              <w:pStyle w:val="ListParagraph"/>
              <w:widowControl w:val="0"/>
              <w:numPr>
                <w:ilvl w:val="0"/>
                <w:numId w:val="2"/>
              </w:numPr>
              <w:autoSpaceDE w:val="0"/>
              <w:autoSpaceDN w:val="0"/>
              <w:spacing w:after="0" w:line="240" w:lineRule="auto"/>
              <w:contextualSpacing w:val="0"/>
              <w:rPr>
                <w:rFonts w:cstheme="minorHAnsi"/>
                <w:spacing w:val="-2"/>
              </w:rPr>
            </w:pPr>
            <w:r w:rsidRPr="00442BB2">
              <w:rPr>
                <w:rFonts w:cstheme="minorHAnsi"/>
                <w:b/>
                <w:bCs/>
              </w:rPr>
              <w:t>Processor</w:t>
            </w:r>
            <w:r w:rsidRPr="00442BB2">
              <w:rPr>
                <w:rFonts w:cstheme="minorHAnsi"/>
                <w:b/>
                <w:bCs/>
                <w:spacing w:val="-4"/>
              </w:rPr>
              <w:t xml:space="preserve"> </w:t>
            </w:r>
            <w:r w:rsidRPr="00442BB2">
              <w:rPr>
                <w:rFonts w:cstheme="minorHAnsi"/>
                <w:b/>
                <w:bCs/>
                <w:spacing w:val="-2"/>
              </w:rPr>
              <w:t>Architecture:</w:t>
            </w:r>
            <w:r w:rsidRPr="00442BB2">
              <w:rPr>
                <w:rFonts w:cstheme="minorHAnsi"/>
                <w:spacing w:val="-2"/>
              </w:rPr>
              <w:t xml:space="preserve"> Intel® C Series / AMD EPYC / Equivalent / Higher</w:t>
            </w:r>
          </w:p>
          <w:p w:rsidR="0020573A" w:rsidRPr="00442BB2" w:rsidRDefault="0020573A" w:rsidP="008C55DE">
            <w:pPr>
              <w:pStyle w:val="TableParagraph"/>
              <w:numPr>
                <w:ilvl w:val="0"/>
                <w:numId w:val="2"/>
              </w:numPr>
              <w:tabs>
                <w:tab w:val="left" w:pos="367"/>
              </w:tabs>
              <w:rPr>
                <w:rFonts w:asciiTheme="minorHAnsi" w:hAnsiTheme="minorHAnsi" w:cstheme="minorHAnsi"/>
              </w:rPr>
            </w:pPr>
            <w:r w:rsidRPr="00442BB2">
              <w:rPr>
                <w:rFonts w:asciiTheme="minorHAnsi" w:hAnsiTheme="minorHAnsi" w:cstheme="minorHAnsi"/>
                <w:b/>
                <w:bCs/>
              </w:rPr>
              <w:t>Processor</w:t>
            </w:r>
            <w:r w:rsidRPr="00442BB2">
              <w:rPr>
                <w:rFonts w:asciiTheme="minorHAnsi" w:hAnsiTheme="minorHAnsi" w:cstheme="minorHAnsi"/>
                <w:b/>
                <w:bCs/>
                <w:spacing w:val="-7"/>
              </w:rPr>
              <w:t xml:space="preserve"> </w:t>
            </w:r>
            <w:r w:rsidRPr="00442BB2">
              <w:rPr>
                <w:rFonts w:asciiTheme="minorHAnsi" w:hAnsiTheme="minorHAnsi" w:cstheme="minorHAnsi"/>
                <w:b/>
                <w:bCs/>
                <w:spacing w:val="-2"/>
              </w:rPr>
              <w:t>Make:</w:t>
            </w:r>
            <w:r w:rsidRPr="00442BB2">
              <w:rPr>
                <w:rFonts w:asciiTheme="minorHAnsi" w:hAnsiTheme="minorHAnsi" w:cstheme="minorHAnsi"/>
                <w:spacing w:val="-2"/>
              </w:rPr>
              <w:t xml:space="preserve"> AMD / Intel</w:t>
            </w:r>
          </w:p>
          <w:p w:rsidR="0020573A" w:rsidRPr="00442BB2" w:rsidRDefault="0020573A" w:rsidP="008C55DE">
            <w:pPr>
              <w:pStyle w:val="TableParagraph"/>
              <w:numPr>
                <w:ilvl w:val="0"/>
                <w:numId w:val="2"/>
              </w:numPr>
              <w:tabs>
                <w:tab w:val="left" w:pos="367"/>
              </w:tabs>
              <w:rPr>
                <w:rFonts w:asciiTheme="minorHAnsi" w:hAnsiTheme="minorHAnsi" w:cstheme="minorHAnsi"/>
              </w:rPr>
            </w:pPr>
            <w:r w:rsidRPr="00442BB2">
              <w:rPr>
                <w:rFonts w:asciiTheme="minorHAnsi" w:hAnsiTheme="minorHAnsi" w:cstheme="minorHAnsi"/>
                <w:b/>
                <w:bCs/>
              </w:rPr>
              <w:t>Number</w:t>
            </w:r>
            <w:r w:rsidRPr="00442BB2">
              <w:rPr>
                <w:rFonts w:asciiTheme="minorHAnsi" w:hAnsiTheme="minorHAnsi" w:cstheme="minorHAnsi"/>
                <w:b/>
                <w:bCs/>
                <w:spacing w:val="-2"/>
              </w:rPr>
              <w:t xml:space="preserve"> </w:t>
            </w:r>
            <w:r w:rsidRPr="00442BB2">
              <w:rPr>
                <w:rFonts w:asciiTheme="minorHAnsi" w:hAnsiTheme="minorHAnsi" w:cstheme="minorHAnsi"/>
                <w:b/>
                <w:bCs/>
              </w:rPr>
              <w:t>of</w:t>
            </w:r>
            <w:r w:rsidRPr="00442BB2">
              <w:rPr>
                <w:rFonts w:asciiTheme="minorHAnsi" w:hAnsiTheme="minorHAnsi" w:cstheme="minorHAnsi"/>
                <w:b/>
                <w:bCs/>
                <w:spacing w:val="-2"/>
              </w:rPr>
              <w:t xml:space="preserve"> </w:t>
            </w:r>
            <w:r w:rsidRPr="00442BB2">
              <w:rPr>
                <w:rFonts w:asciiTheme="minorHAnsi" w:hAnsiTheme="minorHAnsi" w:cstheme="minorHAnsi"/>
                <w:b/>
                <w:bCs/>
              </w:rPr>
              <w:t>Cores</w:t>
            </w:r>
            <w:r w:rsidRPr="00442BB2">
              <w:rPr>
                <w:rFonts w:asciiTheme="minorHAnsi" w:hAnsiTheme="minorHAnsi" w:cstheme="minorHAnsi"/>
                <w:b/>
                <w:bCs/>
                <w:spacing w:val="-3"/>
              </w:rPr>
              <w:t xml:space="preserve"> </w:t>
            </w:r>
            <w:r w:rsidRPr="00442BB2">
              <w:rPr>
                <w:rFonts w:asciiTheme="minorHAnsi" w:hAnsiTheme="minorHAnsi" w:cstheme="minorHAnsi"/>
                <w:b/>
                <w:bCs/>
              </w:rPr>
              <w:t>per</w:t>
            </w:r>
            <w:r w:rsidRPr="00442BB2">
              <w:rPr>
                <w:rFonts w:asciiTheme="minorHAnsi" w:hAnsiTheme="minorHAnsi" w:cstheme="minorHAnsi"/>
                <w:b/>
                <w:bCs/>
                <w:spacing w:val="-3"/>
              </w:rPr>
              <w:t xml:space="preserve"> </w:t>
            </w:r>
            <w:r w:rsidRPr="00442BB2">
              <w:rPr>
                <w:rFonts w:asciiTheme="minorHAnsi" w:hAnsiTheme="minorHAnsi" w:cstheme="minorHAnsi"/>
                <w:b/>
                <w:bCs/>
                <w:spacing w:val="-2"/>
              </w:rPr>
              <w:t>Processor:</w:t>
            </w:r>
            <w:r w:rsidRPr="00442BB2">
              <w:rPr>
                <w:rFonts w:asciiTheme="minorHAnsi" w:hAnsiTheme="minorHAnsi" w:cstheme="minorHAnsi"/>
                <w:spacing w:val="-2"/>
              </w:rPr>
              <w:t xml:space="preserve"> 16 or Higher</w:t>
            </w:r>
          </w:p>
          <w:p w:rsidR="0020573A" w:rsidRPr="00442BB2" w:rsidRDefault="0020573A" w:rsidP="008C55DE">
            <w:pPr>
              <w:pStyle w:val="TableParagraph"/>
              <w:numPr>
                <w:ilvl w:val="0"/>
                <w:numId w:val="2"/>
              </w:numPr>
              <w:tabs>
                <w:tab w:val="left" w:pos="367"/>
              </w:tabs>
              <w:rPr>
                <w:rFonts w:asciiTheme="minorHAnsi" w:hAnsiTheme="minorHAnsi" w:cstheme="minorHAnsi"/>
              </w:rPr>
            </w:pPr>
            <w:r w:rsidRPr="00442BB2">
              <w:rPr>
                <w:rFonts w:asciiTheme="minorHAnsi" w:hAnsiTheme="minorHAnsi" w:cstheme="minorHAnsi"/>
                <w:b/>
                <w:bCs/>
              </w:rPr>
              <w:t>Processor</w:t>
            </w:r>
            <w:r w:rsidRPr="00442BB2">
              <w:rPr>
                <w:rFonts w:asciiTheme="minorHAnsi" w:hAnsiTheme="minorHAnsi" w:cstheme="minorHAnsi"/>
                <w:b/>
                <w:bCs/>
                <w:spacing w:val="-4"/>
              </w:rPr>
              <w:t xml:space="preserve"> </w:t>
            </w:r>
            <w:r w:rsidRPr="00442BB2">
              <w:rPr>
                <w:rFonts w:asciiTheme="minorHAnsi" w:hAnsiTheme="minorHAnsi" w:cstheme="minorHAnsi"/>
                <w:b/>
                <w:bCs/>
              </w:rPr>
              <w:t>Base</w:t>
            </w:r>
            <w:r w:rsidRPr="00442BB2">
              <w:rPr>
                <w:rFonts w:asciiTheme="minorHAnsi" w:hAnsiTheme="minorHAnsi" w:cstheme="minorHAnsi"/>
                <w:b/>
                <w:bCs/>
                <w:spacing w:val="-4"/>
              </w:rPr>
              <w:t xml:space="preserve"> </w:t>
            </w:r>
            <w:r w:rsidRPr="00442BB2">
              <w:rPr>
                <w:rFonts w:asciiTheme="minorHAnsi" w:hAnsiTheme="minorHAnsi" w:cstheme="minorHAnsi"/>
                <w:b/>
                <w:bCs/>
              </w:rPr>
              <w:t>Frequency</w:t>
            </w:r>
            <w:r w:rsidRPr="00442BB2">
              <w:rPr>
                <w:rFonts w:asciiTheme="minorHAnsi" w:hAnsiTheme="minorHAnsi" w:cstheme="minorHAnsi"/>
                <w:b/>
                <w:bCs/>
                <w:spacing w:val="-4"/>
              </w:rPr>
              <w:t xml:space="preserve"> </w:t>
            </w:r>
            <w:r w:rsidRPr="00442BB2">
              <w:rPr>
                <w:rFonts w:asciiTheme="minorHAnsi" w:hAnsiTheme="minorHAnsi" w:cstheme="minorHAnsi"/>
                <w:b/>
                <w:bCs/>
                <w:spacing w:val="-2"/>
              </w:rPr>
              <w:t>(GHz):</w:t>
            </w:r>
            <w:r w:rsidRPr="00442BB2">
              <w:rPr>
                <w:rFonts w:asciiTheme="minorHAnsi" w:hAnsiTheme="minorHAnsi" w:cstheme="minorHAnsi"/>
                <w:spacing w:val="-2"/>
              </w:rPr>
              <w:t xml:space="preserve"> 2.8 GHz or Higher</w:t>
            </w:r>
          </w:p>
          <w:p w:rsidR="0020573A" w:rsidRPr="00442BB2" w:rsidRDefault="0020573A" w:rsidP="008C55DE">
            <w:pPr>
              <w:pStyle w:val="TableParagraph"/>
              <w:numPr>
                <w:ilvl w:val="0"/>
                <w:numId w:val="2"/>
              </w:numPr>
              <w:tabs>
                <w:tab w:val="left" w:pos="367"/>
              </w:tabs>
              <w:rPr>
                <w:rFonts w:asciiTheme="minorHAnsi" w:hAnsiTheme="minorHAnsi" w:cstheme="minorHAnsi"/>
              </w:rPr>
            </w:pPr>
            <w:r w:rsidRPr="00442BB2">
              <w:rPr>
                <w:rFonts w:asciiTheme="minorHAnsi" w:hAnsiTheme="minorHAnsi" w:cstheme="minorHAnsi"/>
                <w:b/>
                <w:bCs/>
              </w:rPr>
              <w:t>Processor</w:t>
            </w:r>
            <w:r w:rsidRPr="00442BB2">
              <w:rPr>
                <w:rFonts w:asciiTheme="minorHAnsi" w:hAnsiTheme="minorHAnsi" w:cstheme="minorHAnsi"/>
                <w:b/>
                <w:bCs/>
                <w:spacing w:val="-4"/>
              </w:rPr>
              <w:t xml:space="preserve"> </w:t>
            </w:r>
            <w:r w:rsidRPr="00442BB2">
              <w:rPr>
                <w:rFonts w:asciiTheme="minorHAnsi" w:hAnsiTheme="minorHAnsi" w:cstheme="minorHAnsi"/>
                <w:b/>
                <w:bCs/>
                <w:spacing w:val="-2"/>
              </w:rPr>
              <w:t>Generation:</w:t>
            </w:r>
            <w:r w:rsidRPr="00442BB2">
              <w:rPr>
                <w:rFonts w:asciiTheme="minorHAnsi" w:hAnsiTheme="minorHAnsi" w:cstheme="minorHAnsi"/>
                <w:spacing w:val="-2"/>
              </w:rPr>
              <w:t xml:space="preserve"> 5</w:t>
            </w:r>
            <w:r w:rsidRPr="00442BB2">
              <w:rPr>
                <w:rFonts w:asciiTheme="minorHAnsi" w:hAnsiTheme="minorHAnsi" w:cstheme="minorHAnsi"/>
                <w:spacing w:val="-2"/>
                <w:vertAlign w:val="superscript"/>
              </w:rPr>
              <w:t>th</w:t>
            </w:r>
            <w:r w:rsidRPr="00442BB2">
              <w:rPr>
                <w:rFonts w:asciiTheme="minorHAnsi" w:hAnsiTheme="minorHAnsi" w:cstheme="minorHAnsi"/>
                <w:spacing w:val="-2"/>
              </w:rPr>
              <w:t xml:space="preserve"> Generation / Intel 5th Gen Xeon / AMD EPYC 9004/9005 Series </w:t>
            </w:r>
            <w:r>
              <w:rPr>
                <w:rFonts w:asciiTheme="minorHAnsi" w:hAnsiTheme="minorHAnsi" w:cstheme="minorHAnsi"/>
                <w:spacing w:val="-2"/>
              </w:rPr>
              <w:t>or</w:t>
            </w:r>
            <w:r w:rsidRPr="00442BB2">
              <w:rPr>
                <w:rFonts w:asciiTheme="minorHAnsi" w:hAnsiTheme="minorHAnsi" w:cstheme="minorHAnsi"/>
                <w:spacing w:val="-2"/>
              </w:rPr>
              <w:t xml:space="preserve"> Higher</w:t>
            </w:r>
          </w:p>
          <w:p w:rsidR="0020573A" w:rsidRPr="00442BB2" w:rsidRDefault="0020573A" w:rsidP="008C55DE">
            <w:pPr>
              <w:pStyle w:val="TableParagraph"/>
              <w:numPr>
                <w:ilvl w:val="0"/>
                <w:numId w:val="2"/>
              </w:numPr>
              <w:tabs>
                <w:tab w:val="left" w:pos="367"/>
              </w:tabs>
              <w:rPr>
                <w:rFonts w:asciiTheme="minorHAnsi" w:hAnsiTheme="minorHAnsi" w:cstheme="minorHAnsi"/>
                <w:color w:val="000000" w:themeColor="text1"/>
              </w:rPr>
            </w:pPr>
            <w:r w:rsidRPr="00442BB2">
              <w:rPr>
                <w:rFonts w:asciiTheme="minorHAnsi" w:hAnsiTheme="minorHAnsi" w:cstheme="minorHAnsi"/>
                <w:b/>
                <w:bCs/>
                <w:color w:val="000000" w:themeColor="text1"/>
                <w:spacing w:val="-2"/>
              </w:rPr>
              <w:t>Cache(MB):</w:t>
            </w:r>
            <w:r w:rsidRPr="00442BB2">
              <w:rPr>
                <w:rFonts w:asciiTheme="minorHAnsi" w:hAnsiTheme="minorHAnsi" w:cstheme="minorHAnsi"/>
                <w:color w:val="000000" w:themeColor="text1"/>
                <w:spacing w:val="-2"/>
              </w:rPr>
              <w:t xml:space="preserve"> 37.5 MB or Higher </w:t>
            </w:r>
          </w:p>
          <w:p w:rsidR="0020573A" w:rsidRPr="00442BB2" w:rsidRDefault="0020573A" w:rsidP="008C55DE">
            <w:pPr>
              <w:pStyle w:val="TableParagraph"/>
              <w:numPr>
                <w:ilvl w:val="0"/>
                <w:numId w:val="2"/>
              </w:numPr>
              <w:tabs>
                <w:tab w:val="left" w:pos="367"/>
              </w:tabs>
              <w:rPr>
                <w:rFonts w:asciiTheme="minorHAnsi" w:hAnsiTheme="minorHAnsi" w:cstheme="minorHAnsi"/>
                <w:color w:val="000000" w:themeColor="text1"/>
              </w:rPr>
            </w:pPr>
            <w:r w:rsidRPr="00442BB2">
              <w:rPr>
                <w:rFonts w:asciiTheme="minorHAnsi" w:hAnsiTheme="minorHAnsi" w:cstheme="minorHAnsi"/>
                <w:b/>
                <w:bCs/>
                <w:color w:val="000000" w:themeColor="text1"/>
              </w:rPr>
              <w:t>Server Disk Bays:</w:t>
            </w:r>
            <w:r w:rsidRPr="00442BB2">
              <w:rPr>
                <w:rFonts w:asciiTheme="minorHAnsi" w:hAnsiTheme="minorHAnsi" w:cstheme="minorHAnsi"/>
                <w:color w:val="000000" w:themeColor="text1"/>
              </w:rPr>
              <w:t xml:space="preserve"> The server should be provided with minimum 16 × 2.5" Hot-Swap Drive Bays.</w:t>
            </w:r>
          </w:p>
          <w:p w:rsidR="0020573A" w:rsidRPr="00442BB2" w:rsidRDefault="0020573A" w:rsidP="008C55DE">
            <w:pPr>
              <w:pStyle w:val="TableParagraph"/>
              <w:numPr>
                <w:ilvl w:val="0"/>
                <w:numId w:val="2"/>
              </w:numPr>
              <w:tabs>
                <w:tab w:val="left" w:pos="367"/>
              </w:tabs>
              <w:rPr>
                <w:rFonts w:asciiTheme="minorHAnsi" w:hAnsiTheme="minorHAnsi" w:cstheme="minorHAnsi"/>
                <w:b/>
                <w:bCs/>
                <w:color w:val="000000" w:themeColor="text1"/>
              </w:rPr>
            </w:pPr>
            <w:r w:rsidRPr="00442BB2">
              <w:rPr>
                <w:rFonts w:asciiTheme="minorHAnsi" w:hAnsiTheme="minorHAnsi" w:cstheme="minorHAnsi"/>
                <w:b/>
                <w:bCs/>
                <w:color w:val="000000" w:themeColor="text1"/>
              </w:rPr>
              <w:t xml:space="preserve">SSD Interface Types: </w:t>
            </w:r>
          </w:p>
          <w:p w:rsidR="0020573A" w:rsidRDefault="0020573A" w:rsidP="008C55DE">
            <w:pPr>
              <w:pStyle w:val="TableParagraph"/>
              <w:numPr>
                <w:ilvl w:val="1"/>
                <w:numId w:val="2"/>
              </w:numPr>
              <w:tabs>
                <w:tab w:val="left" w:pos="367"/>
              </w:tabs>
              <w:rPr>
                <w:rFonts w:asciiTheme="minorHAnsi" w:hAnsiTheme="minorHAnsi" w:cstheme="minorHAnsi"/>
                <w:color w:val="000000" w:themeColor="text1"/>
              </w:rPr>
            </w:pP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SSDs: U.2/U.3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w:t>
            </w:r>
            <w:proofErr w:type="spellStart"/>
            <w:r w:rsidRPr="00442BB2">
              <w:rPr>
                <w:rFonts w:asciiTheme="minorHAnsi" w:hAnsiTheme="minorHAnsi" w:cstheme="minorHAnsi"/>
                <w:color w:val="000000" w:themeColor="text1"/>
              </w:rPr>
              <w:t>PCIe</w:t>
            </w:r>
            <w:proofErr w:type="spellEnd"/>
            <w:r w:rsidRPr="00442BB2">
              <w:rPr>
                <w:rFonts w:asciiTheme="minorHAnsi" w:hAnsiTheme="minorHAnsi" w:cstheme="minorHAnsi"/>
                <w:color w:val="000000" w:themeColor="text1"/>
              </w:rPr>
              <w:t xml:space="preserve"> Gen4/Gen5 (OEM standard for 2.5"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drives)</w:t>
            </w:r>
          </w:p>
          <w:p w:rsidR="0020573A"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SATA SSDs: Standard 6 </w:t>
            </w:r>
            <w:proofErr w:type="spellStart"/>
            <w:r w:rsidRPr="00442BB2">
              <w:rPr>
                <w:rFonts w:asciiTheme="minorHAnsi" w:hAnsiTheme="minorHAnsi" w:cstheme="minorHAnsi"/>
                <w:color w:val="000000" w:themeColor="text1"/>
              </w:rPr>
              <w:t>Gbps</w:t>
            </w:r>
            <w:proofErr w:type="spellEnd"/>
            <w:r w:rsidRPr="00442BB2">
              <w:rPr>
                <w:rFonts w:asciiTheme="minorHAnsi" w:hAnsiTheme="minorHAnsi" w:cstheme="minorHAnsi"/>
                <w:color w:val="000000" w:themeColor="text1"/>
              </w:rPr>
              <w:t xml:space="preserve">/12 </w:t>
            </w:r>
            <w:proofErr w:type="spellStart"/>
            <w:r w:rsidRPr="00442BB2">
              <w:rPr>
                <w:rFonts w:asciiTheme="minorHAnsi" w:hAnsiTheme="minorHAnsi" w:cstheme="minorHAnsi"/>
                <w:color w:val="000000" w:themeColor="text1"/>
              </w:rPr>
              <w:t>Gbps</w:t>
            </w:r>
            <w:proofErr w:type="spellEnd"/>
            <w:r w:rsidRPr="00442BB2">
              <w:rPr>
                <w:rFonts w:asciiTheme="minorHAnsi" w:hAnsiTheme="minorHAnsi" w:cstheme="minorHAnsi"/>
                <w:color w:val="000000" w:themeColor="text1"/>
              </w:rPr>
              <w:t xml:space="preserve"> Enterprise SATA</w:t>
            </w:r>
          </w:p>
          <w:p w:rsidR="0020573A" w:rsidRPr="00442BB2" w:rsidRDefault="0020573A" w:rsidP="008C55DE">
            <w:pPr>
              <w:pStyle w:val="TableParagraph"/>
              <w:numPr>
                <w:ilvl w:val="0"/>
                <w:numId w:val="2"/>
              </w:numPr>
              <w:tabs>
                <w:tab w:val="left" w:pos="367"/>
              </w:tabs>
              <w:rPr>
                <w:rFonts w:asciiTheme="minorHAnsi" w:hAnsiTheme="minorHAnsi" w:cstheme="minorHAnsi"/>
                <w:color w:val="000000" w:themeColor="text1"/>
              </w:rPr>
            </w:pPr>
            <w:proofErr w:type="spellStart"/>
            <w:r w:rsidRPr="00442BB2">
              <w:rPr>
                <w:rFonts w:asciiTheme="minorHAnsi" w:hAnsiTheme="minorHAnsi" w:cstheme="minorHAnsi"/>
                <w:b/>
                <w:bCs/>
                <w:color w:val="000000" w:themeColor="text1"/>
              </w:rPr>
              <w:t>NVMe</w:t>
            </w:r>
            <w:proofErr w:type="spellEnd"/>
            <w:r w:rsidRPr="00442BB2">
              <w:rPr>
                <w:rFonts w:asciiTheme="minorHAnsi" w:hAnsiTheme="minorHAnsi" w:cstheme="minorHAnsi"/>
                <w:b/>
                <w:bCs/>
                <w:color w:val="000000" w:themeColor="text1"/>
              </w:rPr>
              <w:t xml:space="preserve"> SSD (2.5″ U.2/U.3 Enterprise </w:t>
            </w:r>
            <w:proofErr w:type="spellStart"/>
            <w:r w:rsidRPr="00442BB2">
              <w:rPr>
                <w:rFonts w:asciiTheme="minorHAnsi" w:hAnsiTheme="minorHAnsi" w:cstheme="minorHAnsi"/>
                <w:b/>
                <w:bCs/>
                <w:color w:val="000000" w:themeColor="text1"/>
              </w:rPr>
              <w:t>NVMe</w:t>
            </w:r>
            <w:proofErr w:type="spellEnd"/>
            <w:r w:rsidRPr="00442BB2">
              <w:rPr>
                <w:rFonts w:asciiTheme="minorHAnsi" w:hAnsiTheme="minorHAnsi" w:cstheme="minorHAnsi"/>
                <w:b/>
                <w:bCs/>
                <w:color w:val="000000" w:themeColor="text1"/>
              </w:rPr>
              <w:t xml:space="preserve"> SSDs): </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Total Number of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SSD Slots Available: 2 (minimum)</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Number of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SSD Slots Populated: 2</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Capacity Offered per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SSD: 1.92 TB (1920 GB)</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Type: 2.5"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(U.2/U.3) Read-Intensive SSD, DWPD: 1</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Hot-Swappable: Yes (as supported by OEM)</w:t>
            </w:r>
          </w:p>
          <w:p w:rsidR="0020573A" w:rsidRPr="00D8591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Total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Capacity: 2 × 1.92 TB = 3.84 TB</w:t>
            </w:r>
          </w:p>
          <w:p w:rsidR="0020573A" w:rsidRPr="00442BB2" w:rsidRDefault="0020573A" w:rsidP="008C55DE">
            <w:pPr>
              <w:pStyle w:val="TableParagraph"/>
              <w:numPr>
                <w:ilvl w:val="0"/>
                <w:numId w:val="2"/>
              </w:numPr>
              <w:tabs>
                <w:tab w:val="left" w:pos="367"/>
              </w:tabs>
              <w:rPr>
                <w:rFonts w:asciiTheme="minorHAnsi" w:hAnsiTheme="minorHAnsi" w:cstheme="minorHAnsi"/>
                <w:b/>
                <w:bCs/>
                <w:color w:val="000000" w:themeColor="text1"/>
              </w:rPr>
            </w:pPr>
            <w:r w:rsidRPr="00442BB2">
              <w:rPr>
                <w:rFonts w:asciiTheme="minorHAnsi" w:hAnsiTheme="minorHAnsi" w:cstheme="minorHAnsi"/>
                <w:b/>
                <w:bCs/>
                <w:color w:val="000000" w:themeColor="text1"/>
              </w:rPr>
              <w:t>SATA SSD (2.5″ Read-Intensive SSDs):</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Total Number of SATA SSD Slots Available: 8 (minimum)</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Number of SATA SSD Slots Populated: 4 (minimum)</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Capacity Offered per SATA SSD: 1.92 TB (1920 GB)</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Type: 2.5" SATA Read-Intensive SSD, DWPD: 1</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Hot-Swappable: Yes</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Total Capacity from SATA SSDs: 4 × 1.92 TB = 7.68 TB</w:t>
            </w:r>
          </w:p>
          <w:p w:rsidR="0020573A" w:rsidRPr="00442BB2" w:rsidRDefault="0020573A" w:rsidP="008C55DE">
            <w:pPr>
              <w:pStyle w:val="TableParagraph"/>
              <w:numPr>
                <w:ilvl w:val="0"/>
                <w:numId w:val="2"/>
              </w:numPr>
              <w:tabs>
                <w:tab w:val="left" w:pos="367"/>
              </w:tabs>
              <w:rPr>
                <w:rFonts w:asciiTheme="minorHAnsi" w:hAnsiTheme="minorHAnsi" w:cstheme="minorHAnsi"/>
                <w:b/>
                <w:bCs/>
                <w:color w:val="000000" w:themeColor="text1"/>
              </w:rPr>
            </w:pPr>
            <w:r w:rsidRPr="00442BB2">
              <w:rPr>
                <w:rFonts w:asciiTheme="minorHAnsi" w:hAnsiTheme="minorHAnsi" w:cstheme="minorHAnsi"/>
                <w:b/>
                <w:bCs/>
                <w:color w:val="000000" w:themeColor="text1"/>
              </w:rPr>
              <w:t>Summary of Total Installed Storage Capacity</w:t>
            </w:r>
            <w:r>
              <w:rPr>
                <w:rFonts w:asciiTheme="minorHAnsi" w:hAnsiTheme="minorHAnsi" w:cstheme="minorHAnsi"/>
                <w:b/>
                <w:bCs/>
                <w:color w:val="000000" w:themeColor="text1"/>
              </w:rPr>
              <w:t>:</w:t>
            </w:r>
          </w:p>
          <w:p w:rsidR="0020573A"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 xml:space="preserve">Total </w:t>
            </w:r>
            <w:proofErr w:type="spellStart"/>
            <w:r w:rsidRPr="00442BB2">
              <w:rPr>
                <w:rFonts w:asciiTheme="minorHAnsi" w:hAnsiTheme="minorHAnsi" w:cstheme="minorHAnsi"/>
                <w:color w:val="000000" w:themeColor="text1"/>
              </w:rPr>
              <w:t>NVMe</w:t>
            </w:r>
            <w:proofErr w:type="spellEnd"/>
            <w:r w:rsidRPr="00442BB2">
              <w:rPr>
                <w:rFonts w:asciiTheme="minorHAnsi" w:hAnsiTheme="minorHAnsi" w:cstheme="minorHAnsi"/>
                <w:color w:val="000000" w:themeColor="text1"/>
              </w:rPr>
              <w:t xml:space="preserve"> SSD Capacity: 3.84 TB</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Total SATA SSD Capacity: 7.68 TB</w:t>
            </w:r>
          </w:p>
          <w:p w:rsidR="0020573A" w:rsidRPr="00442BB2" w:rsidRDefault="0020573A" w:rsidP="008C55DE">
            <w:pPr>
              <w:pStyle w:val="TableParagraph"/>
              <w:numPr>
                <w:ilvl w:val="1"/>
                <w:numId w:val="2"/>
              </w:numPr>
              <w:tabs>
                <w:tab w:val="left" w:pos="367"/>
              </w:tabs>
              <w:rPr>
                <w:rFonts w:asciiTheme="minorHAnsi" w:hAnsiTheme="minorHAnsi" w:cstheme="minorHAnsi"/>
                <w:color w:val="000000" w:themeColor="text1"/>
              </w:rPr>
            </w:pPr>
            <w:r w:rsidRPr="00442BB2">
              <w:rPr>
                <w:rFonts w:asciiTheme="minorHAnsi" w:hAnsiTheme="minorHAnsi" w:cstheme="minorHAnsi"/>
                <w:color w:val="000000" w:themeColor="text1"/>
              </w:rPr>
              <w:t>Combined Installed Storage: 11.52 TB</w:t>
            </w:r>
          </w:p>
          <w:p w:rsidR="0020573A" w:rsidRDefault="0020573A" w:rsidP="008C55DE">
            <w:pPr>
              <w:pStyle w:val="TableParagraph"/>
              <w:numPr>
                <w:ilvl w:val="0"/>
                <w:numId w:val="2"/>
              </w:numPr>
              <w:tabs>
                <w:tab w:val="left" w:pos="368"/>
              </w:tabs>
              <w:rPr>
                <w:rFonts w:asciiTheme="minorHAnsi" w:hAnsiTheme="minorHAnsi" w:cstheme="minorHAnsi"/>
              </w:rPr>
            </w:pPr>
            <w:r w:rsidRPr="003906FF">
              <w:rPr>
                <w:rFonts w:asciiTheme="minorHAnsi" w:hAnsiTheme="minorHAnsi" w:cstheme="minorHAnsi"/>
                <w:b/>
                <w:bCs/>
              </w:rPr>
              <w:t>RAID Level Support:</w:t>
            </w:r>
            <w:r w:rsidRPr="003906FF">
              <w:rPr>
                <w:rFonts w:asciiTheme="minorHAnsi" w:hAnsiTheme="minorHAnsi" w:cstheme="minorHAnsi"/>
              </w:rPr>
              <w:t xml:space="preserve"> </w:t>
            </w:r>
          </w:p>
          <w:p w:rsidR="0020573A" w:rsidRPr="003906FF" w:rsidRDefault="0020573A" w:rsidP="008C55DE">
            <w:pPr>
              <w:pStyle w:val="TableParagraph"/>
              <w:tabs>
                <w:tab w:val="left" w:pos="368"/>
              </w:tabs>
              <w:ind w:left="720"/>
              <w:rPr>
                <w:rFonts w:asciiTheme="minorHAnsi" w:hAnsiTheme="minorHAnsi" w:cstheme="minorHAnsi"/>
              </w:rPr>
            </w:pPr>
            <w:r w:rsidRPr="003906FF">
              <w:rPr>
                <w:rFonts w:asciiTheme="minorHAnsi" w:hAnsiTheme="minorHAnsi" w:cstheme="minorHAnsi"/>
              </w:rPr>
              <w:t>The server must support hardware RAID levels RAID 0, RAID 1, RAID 5, and RAID 10.</w:t>
            </w:r>
          </w:p>
          <w:p w:rsidR="0020573A" w:rsidRPr="003906FF" w:rsidRDefault="0020573A" w:rsidP="008C55DE">
            <w:pPr>
              <w:pStyle w:val="TableParagraph"/>
              <w:numPr>
                <w:ilvl w:val="0"/>
                <w:numId w:val="2"/>
              </w:numPr>
              <w:tabs>
                <w:tab w:val="left" w:pos="368"/>
              </w:tabs>
              <w:rPr>
                <w:rFonts w:asciiTheme="minorHAnsi" w:hAnsiTheme="minorHAnsi" w:cstheme="minorHAnsi"/>
              </w:rPr>
            </w:pPr>
            <w:r w:rsidRPr="003906FF">
              <w:rPr>
                <w:rFonts w:asciiTheme="minorHAnsi" w:hAnsiTheme="minorHAnsi" w:cstheme="minorHAnsi"/>
                <w:b/>
                <w:bCs/>
              </w:rPr>
              <w:t xml:space="preserve">Number of Network Ports (LAN): </w:t>
            </w:r>
          </w:p>
          <w:p w:rsidR="0020573A" w:rsidRPr="003906FF" w:rsidRDefault="0020573A" w:rsidP="008C55DE">
            <w:pPr>
              <w:pStyle w:val="TableParagraph"/>
              <w:tabs>
                <w:tab w:val="left" w:pos="368"/>
              </w:tabs>
              <w:ind w:left="720"/>
              <w:rPr>
                <w:rFonts w:asciiTheme="minorHAnsi" w:hAnsiTheme="minorHAnsi" w:cstheme="minorHAnsi"/>
              </w:rPr>
            </w:pPr>
            <w:r w:rsidRPr="003906FF">
              <w:rPr>
                <w:rFonts w:asciiTheme="minorHAnsi" w:hAnsiTheme="minorHAnsi" w:cstheme="minorHAnsi"/>
              </w:rPr>
              <w:t>The server must have a minimum of 4 Network Ports, configured as 2 × 10GBase-T (RJ-45) and 2 × 1GBase-T (RJ-45) or higher/equivalent configuration.</w:t>
            </w:r>
          </w:p>
          <w:p w:rsidR="0020573A" w:rsidRDefault="0020573A" w:rsidP="008C55DE">
            <w:pPr>
              <w:pStyle w:val="TableParagraph"/>
              <w:numPr>
                <w:ilvl w:val="0"/>
                <w:numId w:val="2"/>
              </w:numPr>
              <w:tabs>
                <w:tab w:val="left" w:pos="368"/>
              </w:tabs>
              <w:ind w:right="253"/>
              <w:jc w:val="both"/>
              <w:rPr>
                <w:rFonts w:asciiTheme="minorHAnsi" w:hAnsiTheme="minorHAnsi" w:cstheme="minorHAnsi"/>
              </w:rPr>
            </w:pPr>
            <w:r w:rsidRPr="00546BFB">
              <w:rPr>
                <w:rFonts w:asciiTheme="minorHAnsi" w:hAnsiTheme="minorHAnsi" w:cstheme="minorHAnsi"/>
                <w:b/>
                <w:bCs/>
              </w:rPr>
              <w:t>Monitor:</w:t>
            </w:r>
            <w:r w:rsidRPr="00546BFB">
              <w:rPr>
                <w:rFonts w:asciiTheme="minorHAnsi" w:hAnsiTheme="minorHAnsi" w:cstheme="minorHAnsi"/>
              </w:rPr>
              <w:t xml:space="preserve"> </w:t>
            </w:r>
          </w:p>
          <w:p w:rsidR="0020573A" w:rsidRPr="00546BFB" w:rsidRDefault="0020573A" w:rsidP="008C55DE">
            <w:pPr>
              <w:pStyle w:val="TableParagraph"/>
              <w:tabs>
                <w:tab w:val="left" w:pos="368"/>
              </w:tabs>
              <w:ind w:left="720" w:right="253"/>
              <w:jc w:val="both"/>
              <w:rPr>
                <w:rFonts w:asciiTheme="minorHAnsi" w:hAnsiTheme="minorHAnsi" w:cstheme="minorHAnsi"/>
              </w:rPr>
            </w:pPr>
            <w:r w:rsidRPr="00546BFB">
              <w:rPr>
                <w:rFonts w:asciiTheme="minorHAnsi" w:hAnsiTheme="minorHAnsi" w:cstheme="minorHAnsi"/>
              </w:rPr>
              <w:t xml:space="preserve">A 27-inch IPS Monitor must be supplied with the following minimum specifications: Resolution: 1920 × 1080 (Full HD) or better, Display Type: LCD with LED backlight, Connectivity: HDMI Port </w:t>
            </w:r>
          </w:p>
          <w:p w:rsidR="0020573A" w:rsidRPr="003906FF" w:rsidRDefault="0020573A" w:rsidP="008C55DE">
            <w:pPr>
              <w:pStyle w:val="TableParagraph"/>
              <w:numPr>
                <w:ilvl w:val="0"/>
                <w:numId w:val="2"/>
              </w:numPr>
              <w:tabs>
                <w:tab w:val="left" w:pos="368"/>
              </w:tabs>
              <w:rPr>
                <w:rFonts w:asciiTheme="minorHAnsi" w:hAnsiTheme="minorHAnsi" w:cstheme="minorHAnsi"/>
                <w:bCs/>
              </w:rPr>
            </w:pPr>
            <w:r w:rsidRPr="00442BB2">
              <w:rPr>
                <w:rFonts w:asciiTheme="minorHAnsi" w:hAnsiTheme="minorHAnsi" w:cstheme="minorHAnsi"/>
                <w:b/>
                <w:bCs/>
              </w:rPr>
              <w:t>Keyboard</w:t>
            </w:r>
            <w:r w:rsidRPr="00442BB2">
              <w:rPr>
                <w:rFonts w:asciiTheme="minorHAnsi" w:hAnsiTheme="minorHAnsi" w:cstheme="minorHAnsi"/>
                <w:b/>
                <w:bCs/>
                <w:spacing w:val="-5"/>
              </w:rPr>
              <w:t xml:space="preserve"> </w:t>
            </w:r>
            <w:r w:rsidRPr="00442BB2">
              <w:rPr>
                <w:rFonts w:asciiTheme="minorHAnsi" w:hAnsiTheme="minorHAnsi" w:cstheme="minorHAnsi"/>
                <w:b/>
                <w:bCs/>
              </w:rPr>
              <w:t>and</w:t>
            </w:r>
            <w:r w:rsidRPr="00442BB2">
              <w:rPr>
                <w:rFonts w:asciiTheme="minorHAnsi" w:hAnsiTheme="minorHAnsi" w:cstheme="minorHAnsi"/>
                <w:b/>
                <w:bCs/>
                <w:spacing w:val="-4"/>
              </w:rPr>
              <w:t xml:space="preserve"> </w:t>
            </w:r>
            <w:r w:rsidRPr="00442BB2">
              <w:rPr>
                <w:rFonts w:asciiTheme="minorHAnsi" w:hAnsiTheme="minorHAnsi" w:cstheme="minorHAnsi"/>
                <w:b/>
                <w:bCs/>
              </w:rPr>
              <w:t>Mouse</w:t>
            </w:r>
            <w:r w:rsidRPr="00442BB2">
              <w:rPr>
                <w:rFonts w:asciiTheme="minorHAnsi" w:hAnsiTheme="minorHAnsi" w:cstheme="minorHAnsi"/>
                <w:b/>
                <w:bCs/>
                <w:spacing w:val="-2"/>
              </w:rPr>
              <w:t xml:space="preserve"> </w:t>
            </w:r>
            <w:r w:rsidRPr="00442BB2">
              <w:rPr>
                <w:rFonts w:asciiTheme="minorHAnsi" w:hAnsiTheme="minorHAnsi" w:cstheme="minorHAnsi"/>
                <w:b/>
                <w:bCs/>
                <w:spacing w:val="-5"/>
              </w:rPr>
              <w:t>Set:</w:t>
            </w:r>
            <w:r w:rsidRPr="00442BB2">
              <w:rPr>
                <w:rFonts w:asciiTheme="minorHAnsi" w:hAnsiTheme="minorHAnsi" w:cstheme="minorHAnsi"/>
                <w:spacing w:val="-5"/>
              </w:rPr>
              <w:t xml:space="preserve"> </w:t>
            </w:r>
          </w:p>
          <w:p w:rsidR="0020573A" w:rsidRPr="00442BB2" w:rsidRDefault="0020573A" w:rsidP="008C55DE">
            <w:pPr>
              <w:pStyle w:val="TableParagraph"/>
              <w:tabs>
                <w:tab w:val="left" w:pos="368"/>
              </w:tabs>
              <w:ind w:left="720"/>
              <w:rPr>
                <w:rFonts w:asciiTheme="minorHAnsi" w:hAnsiTheme="minorHAnsi" w:cstheme="minorHAnsi"/>
                <w:bCs/>
              </w:rPr>
            </w:pPr>
            <w:r w:rsidRPr="00442BB2">
              <w:rPr>
                <w:rFonts w:asciiTheme="minorHAnsi" w:hAnsiTheme="minorHAnsi" w:cstheme="minorHAnsi"/>
              </w:rPr>
              <w:t>A USB Keyboard and USB Mouse Set must be supplied (wired).</w:t>
            </w:r>
          </w:p>
          <w:p w:rsidR="0020573A" w:rsidRPr="00BD72C1" w:rsidRDefault="0020573A" w:rsidP="008C55DE">
            <w:pPr>
              <w:pStyle w:val="TableParagraph"/>
              <w:numPr>
                <w:ilvl w:val="0"/>
                <w:numId w:val="2"/>
              </w:numPr>
              <w:tabs>
                <w:tab w:val="left" w:pos="368"/>
              </w:tabs>
              <w:ind w:right="112"/>
              <w:jc w:val="both"/>
              <w:rPr>
                <w:rFonts w:asciiTheme="minorHAnsi" w:hAnsiTheme="minorHAnsi" w:cstheme="minorHAnsi"/>
                <w:bCs/>
              </w:rPr>
            </w:pPr>
            <w:r w:rsidRPr="00BD72C1">
              <w:rPr>
                <w:rFonts w:asciiTheme="minorHAnsi" w:hAnsiTheme="minorHAnsi" w:cstheme="minorHAnsi"/>
                <w:b/>
                <w:bCs/>
              </w:rPr>
              <w:t>Software</w:t>
            </w:r>
            <w:r w:rsidRPr="00BD72C1">
              <w:rPr>
                <w:rFonts w:asciiTheme="minorHAnsi" w:hAnsiTheme="minorHAnsi" w:cstheme="minorHAnsi"/>
                <w:b/>
                <w:bCs/>
                <w:spacing w:val="-4"/>
              </w:rPr>
              <w:t xml:space="preserve"> </w:t>
            </w:r>
            <w:r w:rsidRPr="00BD72C1">
              <w:rPr>
                <w:rFonts w:asciiTheme="minorHAnsi" w:hAnsiTheme="minorHAnsi" w:cstheme="minorHAnsi"/>
                <w:b/>
                <w:bCs/>
                <w:spacing w:val="-5"/>
              </w:rPr>
              <w:t>1:</w:t>
            </w:r>
            <w:r w:rsidRPr="00BD72C1">
              <w:rPr>
                <w:rFonts w:asciiTheme="minorHAnsi" w:hAnsiTheme="minorHAnsi" w:cstheme="minorHAnsi"/>
                <w:spacing w:val="-5"/>
              </w:rPr>
              <w:t xml:space="preserve"> Windows Server 2025 Standard Edition</w:t>
            </w:r>
            <w:r>
              <w:rPr>
                <w:rFonts w:asciiTheme="minorHAnsi" w:hAnsiTheme="minorHAnsi" w:cstheme="minorHAnsi"/>
                <w:spacing w:val="-5"/>
              </w:rPr>
              <w:t xml:space="preserve"> (64 bit)</w:t>
            </w:r>
            <w:r w:rsidRPr="00BD72C1">
              <w:rPr>
                <w:rFonts w:asciiTheme="minorHAnsi" w:hAnsiTheme="minorHAnsi" w:cstheme="minorHAnsi"/>
                <w:spacing w:val="-5"/>
              </w:rPr>
              <w:t xml:space="preserve"> perpetual license should supply and must compatible with server specifications and also include a 3-user Remote Desktop User Cal’s License. The bidder must supply the license pack that covers total physical cores of the server and strictly supply the license accordingly.</w:t>
            </w:r>
          </w:p>
          <w:p w:rsidR="0020573A" w:rsidRPr="00BD72C1" w:rsidRDefault="0020573A" w:rsidP="008C55DE">
            <w:pPr>
              <w:pStyle w:val="TableParagraph"/>
              <w:numPr>
                <w:ilvl w:val="0"/>
                <w:numId w:val="2"/>
              </w:numPr>
              <w:tabs>
                <w:tab w:val="left" w:pos="368"/>
              </w:tabs>
              <w:ind w:right="112"/>
              <w:jc w:val="both"/>
              <w:rPr>
                <w:rFonts w:asciiTheme="minorHAnsi" w:hAnsiTheme="minorHAnsi" w:cstheme="minorHAnsi"/>
                <w:bCs/>
              </w:rPr>
            </w:pPr>
            <w:r w:rsidRPr="00BD72C1">
              <w:rPr>
                <w:rFonts w:asciiTheme="minorHAnsi" w:hAnsiTheme="minorHAnsi" w:cstheme="minorHAnsi"/>
                <w:b/>
              </w:rPr>
              <w:t>Software 2:</w:t>
            </w:r>
            <w:r w:rsidRPr="00BD72C1">
              <w:rPr>
                <w:rFonts w:asciiTheme="minorHAnsi" w:hAnsiTheme="minorHAnsi" w:cstheme="minorHAnsi"/>
                <w:bCs/>
              </w:rPr>
              <w:t xml:space="preserve"> Microsoft SQL Server 2025 Standard Edition</w:t>
            </w:r>
            <w:r>
              <w:rPr>
                <w:rFonts w:asciiTheme="minorHAnsi" w:hAnsiTheme="minorHAnsi" w:cstheme="minorHAnsi"/>
                <w:bCs/>
              </w:rPr>
              <w:t xml:space="preserve"> </w:t>
            </w:r>
            <w:r>
              <w:rPr>
                <w:rFonts w:asciiTheme="minorHAnsi" w:hAnsiTheme="minorHAnsi" w:cstheme="minorHAnsi"/>
                <w:spacing w:val="-5"/>
              </w:rPr>
              <w:t>(64 bit)</w:t>
            </w:r>
            <w:r w:rsidRPr="00BD72C1">
              <w:rPr>
                <w:rFonts w:asciiTheme="minorHAnsi" w:hAnsiTheme="minorHAnsi" w:cstheme="minorHAnsi"/>
                <w:bCs/>
              </w:rPr>
              <w:t xml:space="preserve"> (Perpetual License) shall be supplied, and the software must be fully compatible with the server hardware and operating system specifications.</w:t>
            </w:r>
          </w:p>
          <w:p w:rsidR="0020573A" w:rsidRDefault="0020573A" w:rsidP="008C55DE">
            <w:pPr>
              <w:pStyle w:val="TableParagraph"/>
              <w:numPr>
                <w:ilvl w:val="0"/>
                <w:numId w:val="2"/>
              </w:numPr>
              <w:tabs>
                <w:tab w:val="left" w:pos="368"/>
              </w:tabs>
              <w:ind w:right="112"/>
              <w:jc w:val="both"/>
              <w:rPr>
                <w:rFonts w:asciiTheme="minorHAnsi" w:hAnsiTheme="minorHAnsi" w:cstheme="minorHAnsi"/>
                <w:bCs/>
              </w:rPr>
            </w:pPr>
            <w:r w:rsidRPr="00BD72C1">
              <w:rPr>
                <w:rFonts w:asciiTheme="minorHAnsi" w:hAnsiTheme="minorHAnsi" w:cstheme="minorHAnsi"/>
                <w:b/>
              </w:rPr>
              <w:t xml:space="preserve">Software 3: </w:t>
            </w:r>
            <w:r w:rsidRPr="00BD72C1">
              <w:rPr>
                <w:rFonts w:asciiTheme="minorHAnsi" w:hAnsiTheme="minorHAnsi" w:cstheme="minorHAnsi"/>
                <w:bCs/>
              </w:rPr>
              <w:t>A reputed and reliable Server Edition Compatible Antivirus Software must be supplied, ensuring total protection with 5 years’ validity and full compatibility with the server specifications. The server-version antivirus must support standard server environments and provide real-time protection against viruses, malware, ransomware, and other advanced threats, along with regular automatic updates.</w:t>
            </w:r>
          </w:p>
          <w:p w:rsidR="00F87492" w:rsidRDefault="00F87492" w:rsidP="00F87492">
            <w:pPr>
              <w:pStyle w:val="TableParagraph"/>
              <w:tabs>
                <w:tab w:val="left" w:pos="368"/>
              </w:tabs>
              <w:ind w:left="720" w:right="112"/>
              <w:jc w:val="both"/>
              <w:rPr>
                <w:rFonts w:asciiTheme="minorHAnsi" w:hAnsiTheme="minorHAnsi" w:cstheme="minorHAnsi"/>
                <w:bCs/>
              </w:rPr>
            </w:pPr>
          </w:p>
          <w:p w:rsidR="0020573A" w:rsidRPr="00BD72C1" w:rsidRDefault="0020573A" w:rsidP="008C55DE">
            <w:pPr>
              <w:pStyle w:val="TableParagraph"/>
              <w:tabs>
                <w:tab w:val="left" w:pos="368"/>
              </w:tabs>
              <w:ind w:left="720" w:right="112"/>
              <w:jc w:val="both"/>
              <w:rPr>
                <w:rFonts w:asciiTheme="minorHAnsi" w:hAnsiTheme="minorHAnsi" w:cstheme="minorHAnsi"/>
                <w:bCs/>
              </w:rPr>
            </w:pPr>
          </w:p>
          <w:p w:rsidR="0020573A" w:rsidRPr="00442BB2" w:rsidRDefault="0020573A" w:rsidP="008C55DE">
            <w:pPr>
              <w:pStyle w:val="TableParagraph"/>
              <w:numPr>
                <w:ilvl w:val="0"/>
                <w:numId w:val="2"/>
              </w:numPr>
              <w:tabs>
                <w:tab w:val="left" w:pos="368"/>
              </w:tabs>
              <w:rPr>
                <w:rFonts w:asciiTheme="minorHAnsi" w:hAnsiTheme="minorHAnsi" w:cstheme="minorHAnsi"/>
                <w:bCs/>
              </w:rPr>
            </w:pPr>
            <w:r w:rsidRPr="00442BB2">
              <w:rPr>
                <w:rFonts w:asciiTheme="minorHAnsi" w:hAnsiTheme="minorHAnsi" w:cstheme="minorHAnsi"/>
                <w:b/>
              </w:rPr>
              <w:lastRenderedPageBreak/>
              <w:t>Installation, Commissioning, Training Technical Support and Services:</w:t>
            </w:r>
            <w:r w:rsidRPr="00442BB2">
              <w:rPr>
                <w:rFonts w:asciiTheme="minorHAnsi" w:hAnsiTheme="minorHAnsi" w:cstheme="minorHAnsi"/>
                <w:bCs/>
              </w:rPr>
              <w:t xml:space="preserve"> </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Installation, Commissioning, Technical Support and Services for Servers and Software’s including Setup and necessary configuration for hosting of Website / Web Application / Web Portal along with databases including necessary configurations and enabling of features.</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The Server should compatible with latest open source technologies related to websites / web applications / portals etc. along with compatible data bases.</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 xml:space="preserve">All required Accessories like Server Rack Mounting Kit, Power Cables, Cable Manager etc. also included. </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 xml:space="preserve">The Training must be provided   for   the   installed applications and services.  </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Demonstration for efficient working of the whole system with appropriate bench marking test must be done.</w:t>
            </w:r>
          </w:p>
          <w:p w:rsidR="0020573A" w:rsidRPr="00442BB2" w:rsidRDefault="0020573A" w:rsidP="008C55DE">
            <w:pPr>
              <w:pStyle w:val="TableParagraph"/>
              <w:numPr>
                <w:ilvl w:val="0"/>
                <w:numId w:val="2"/>
              </w:numPr>
              <w:tabs>
                <w:tab w:val="left" w:pos="1581"/>
              </w:tabs>
              <w:rPr>
                <w:rFonts w:asciiTheme="minorHAnsi" w:hAnsiTheme="minorHAnsi" w:cstheme="minorHAnsi"/>
                <w:bCs/>
              </w:rPr>
            </w:pPr>
            <w:r w:rsidRPr="00442BB2">
              <w:rPr>
                <w:rFonts w:asciiTheme="minorHAnsi" w:hAnsiTheme="minorHAnsi" w:cstheme="minorHAnsi"/>
                <w:b/>
              </w:rPr>
              <w:t>On-Site Comprehensive OEM Warranty:</w:t>
            </w:r>
            <w:r w:rsidRPr="00442BB2">
              <w:rPr>
                <w:rFonts w:asciiTheme="minorHAnsi" w:hAnsiTheme="minorHAnsi" w:cstheme="minorHAnsi"/>
                <w:bCs/>
              </w:rPr>
              <w:t xml:space="preserve"> 5 years 24 x 7 OEM support and Warranty.</w:t>
            </w:r>
          </w:p>
          <w:p w:rsidR="0020573A" w:rsidRPr="00442BB2" w:rsidRDefault="0020573A" w:rsidP="008C55DE">
            <w:pPr>
              <w:pStyle w:val="TableParagraph"/>
              <w:numPr>
                <w:ilvl w:val="0"/>
                <w:numId w:val="2"/>
              </w:numPr>
              <w:tabs>
                <w:tab w:val="left" w:pos="1581"/>
              </w:tabs>
              <w:rPr>
                <w:rFonts w:asciiTheme="minorHAnsi" w:hAnsiTheme="minorHAnsi" w:cstheme="minorHAnsi"/>
                <w:bCs/>
              </w:rPr>
            </w:pPr>
            <w:r w:rsidRPr="00442BB2">
              <w:rPr>
                <w:rFonts w:asciiTheme="minorHAnsi" w:hAnsiTheme="minorHAnsi" w:cstheme="minorHAnsi"/>
                <w:b/>
              </w:rPr>
              <w:t>OEM Compatibility:</w:t>
            </w:r>
            <w:r w:rsidRPr="00442BB2">
              <w:rPr>
                <w:rFonts w:asciiTheme="minorHAnsi" w:hAnsiTheme="minorHAnsi" w:cstheme="minorHAnsi"/>
                <w:bCs/>
              </w:rPr>
              <w:t xml:space="preserve"> </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All Servers must be from the same OEM and Must compatible with each other and also with other software and hardware specified in this tender.</w:t>
            </w:r>
          </w:p>
          <w:p w:rsidR="0020573A" w:rsidRPr="00442BB2" w:rsidRDefault="0020573A" w:rsidP="008C55DE">
            <w:pPr>
              <w:pStyle w:val="TableParagraph"/>
              <w:numPr>
                <w:ilvl w:val="1"/>
                <w:numId w:val="2"/>
              </w:numPr>
              <w:tabs>
                <w:tab w:val="left" w:pos="1581"/>
              </w:tabs>
              <w:rPr>
                <w:rFonts w:asciiTheme="minorHAnsi" w:hAnsiTheme="minorHAnsi" w:cstheme="minorHAnsi"/>
                <w:bCs/>
              </w:rPr>
            </w:pPr>
            <w:r w:rsidRPr="00442BB2">
              <w:rPr>
                <w:rFonts w:asciiTheme="minorHAnsi" w:hAnsiTheme="minorHAnsi" w:cstheme="minorHAnsi"/>
                <w:bCs/>
              </w:rPr>
              <w:t>The Components like Mouse, Keyboard and Monitor must be from the same OEM.</w:t>
            </w:r>
          </w:p>
          <w:p w:rsidR="0020573A" w:rsidRPr="00442BB2" w:rsidRDefault="0020573A" w:rsidP="008C55DE">
            <w:pPr>
              <w:pStyle w:val="TableParagraph"/>
              <w:numPr>
                <w:ilvl w:val="0"/>
                <w:numId w:val="2"/>
              </w:numPr>
              <w:tabs>
                <w:tab w:val="left" w:pos="1014"/>
              </w:tabs>
              <w:rPr>
                <w:rFonts w:asciiTheme="minorHAnsi" w:hAnsiTheme="minorHAnsi" w:cstheme="minorHAnsi"/>
                <w:b/>
              </w:rPr>
            </w:pPr>
            <w:r w:rsidRPr="00442BB2">
              <w:rPr>
                <w:rFonts w:asciiTheme="minorHAnsi" w:hAnsiTheme="minorHAnsi" w:cstheme="minorHAnsi"/>
                <w:b/>
              </w:rPr>
              <w:t xml:space="preserve">Benchmark: </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SPEC CPU® 2017 Floating Point Rate (FP Rate): 480 or Higher / SQTC certification</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SPEC CPU® 2017 Integer Rate (INT Rate): 340 or Higher / SQTC certification</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SPEC CPU® 2017 Floating Point Speed (FP Speed): 248 or Higher / SQTC certification</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SPEC CPU® 2017 Integer Speed (INT Speed): 130 or Higher / SQTC certification</w:t>
            </w:r>
          </w:p>
          <w:p w:rsidR="0020573A" w:rsidRPr="00442BB2" w:rsidRDefault="0020573A" w:rsidP="008C55DE">
            <w:pPr>
              <w:pStyle w:val="TableParagraph"/>
              <w:numPr>
                <w:ilvl w:val="0"/>
                <w:numId w:val="2"/>
              </w:numPr>
              <w:tabs>
                <w:tab w:val="left" w:pos="1014"/>
              </w:tabs>
              <w:rPr>
                <w:rFonts w:asciiTheme="minorHAnsi" w:hAnsiTheme="minorHAnsi" w:cstheme="minorHAnsi"/>
                <w:b/>
              </w:rPr>
            </w:pPr>
            <w:r w:rsidRPr="00442BB2">
              <w:rPr>
                <w:rFonts w:asciiTheme="minorHAnsi" w:hAnsiTheme="minorHAnsi" w:cstheme="minorHAnsi"/>
                <w:b/>
              </w:rPr>
              <w:t xml:space="preserve">OEM: </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Tender-Specific Manufacturer Authorization Form (MAF): Wherever authorized bidders participate, a Tender-Specific Manufacturer’s Authorization Form (MAF) must be submitted with date, time, and full OEM details (name, designation, address, and official e-mail ID). The Institute reserves the right to verify the MAF with the issuing OEM at any stage of bid evaluation.</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Service Center Availability: The bidder must have its own authorized service center to ensure prompt support and service to the end-user.</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OEM Toll-Free Support: The OEM must provide a dedicated Toll-Free Telephone Number for service and technical support.</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ISO 9001 Certification: The bidder or the OEM of the offered products must possess a valid ISO 9001 certification.</w:t>
            </w:r>
          </w:p>
          <w:p w:rsidR="0020573A" w:rsidRPr="00442BB2"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Product Datasheets: All quoted products must be accompanied by official, publicly available OEM datasheets for technical verification. In case of any unexplained discrepancy in technical parameters, the bid may be rejected.</w:t>
            </w:r>
          </w:p>
          <w:p w:rsidR="0020573A" w:rsidRDefault="0020573A" w:rsidP="008C55DE">
            <w:pPr>
              <w:pStyle w:val="TableParagraph"/>
              <w:numPr>
                <w:ilvl w:val="1"/>
                <w:numId w:val="2"/>
              </w:numPr>
              <w:tabs>
                <w:tab w:val="left" w:pos="1014"/>
              </w:tabs>
              <w:rPr>
                <w:rFonts w:asciiTheme="minorHAnsi" w:hAnsiTheme="minorHAnsi" w:cstheme="minorHAnsi"/>
                <w:bCs/>
              </w:rPr>
            </w:pPr>
            <w:r w:rsidRPr="00442BB2">
              <w:rPr>
                <w:rFonts w:asciiTheme="minorHAnsi" w:hAnsiTheme="minorHAnsi" w:cstheme="minorHAnsi"/>
                <w:bCs/>
              </w:rPr>
              <w:t>Technical Support Escalation Matrix: A Technical Support / Service Escalation Matrix must be submitted by the bidder along with the bid.</w:t>
            </w:r>
          </w:p>
          <w:p w:rsidR="0020573A" w:rsidRPr="0016397E" w:rsidRDefault="0020573A" w:rsidP="008C55DE">
            <w:pPr>
              <w:pStyle w:val="TableParagraph"/>
              <w:numPr>
                <w:ilvl w:val="0"/>
                <w:numId w:val="2"/>
              </w:numPr>
              <w:tabs>
                <w:tab w:val="left" w:pos="1014"/>
              </w:tabs>
              <w:rPr>
                <w:rFonts w:asciiTheme="minorHAnsi" w:hAnsiTheme="minorHAnsi" w:cstheme="minorHAnsi"/>
                <w:bCs/>
              </w:rPr>
            </w:pPr>
            <w:r w:rsidRPr="0016397E">
              <w:rPr>
                <w:rFonts w:asciiTheme="minorHAnsi" w:hAnsiTheme="minorHAnsi" w:cstheme="minorHAnsi"/>
                <w:b/>
              </w:rPr>
              <w:t xml:space="preserve">Important Notice:  </w:t>
            </w:r>
          </w:p>
          <w:p w:rsidR="0020573A" w:rsidRPr="0016397E" w:rsidRDefault="0020573A" w:rsidP="008C55DE">
            <w:pPr>
              <w:pStyle w:val="TableParagraph"/>
              <w:tabs>
                <w:tab w:val="left" w:pos="1014"/>
              </w:tabs>
              <w:ind w:left="720"/>
              <w:rPr>
                <w:rFonts w:asciiTheme="minorHAnsi" w:hAnsiTheme="minorHAnsi" w:cstheme="minorHAnsi"/>
                <w:bCs/>
              </w:rPr>
            </w:pPr>
            <w:r w:rsidRPr="0016397E">
              <w:rPr>
                <w:rFonts w:asciiTheme="minorHAnsi" w:hAnsiTheme="minorHAnsi" w:cstheme="minorHAnsi"/>
                <w:bCs/>
              </w:rPr>
              <w:t xml:space="preserve">It was noted that in case of any deviation or conflict between the </w:t>
            </w:r>
            <w:proofErr w:type="spellStart"/>
            <w:r w:rsidRPr="0016397E">
              <w:rPr>
                <w:rFonts w:asciiTheme="minorHAnsi" w:hAnsiTheme="minorHAnsi" w:cstheme="minorHAnsi"/>
                <w:bCs/>
              </w:rPr>
              <w:t>GeM</w:t>
            </w:r>
            <w:proofErr w:type="spellEnd"/>
            <w:r w:rsidRPr="0016397E">
              <w:rPr>
                <w:rFonts w:asciiTheme="minorHAnsi" w:hAnsiTheme="minorHAnsi" w:cstheme="minorHAnsi"/>
                <w:bCs/>
              </w:rPr>
              <w:t xml:space="preserve"> Specified Parameters and the Additional Terms &amp; Conditions (ATC), the Additional Terms &amp; Conditions (ATC) shall be considered as final and binding.</w:t>
            </w:r>
          </w:p>
        </w:tc>
      </w:tr>
    </w:tbl>
    <w:p w:rsidR="0020573A" w:rsidRDefault="00A7589C" w:rsidP="00A7589C">
      <w:pPr>
        <w:spacing w:line="209" w:lineRule="atLeast"/>
        <w:ind w:left="360" w:hanging="360"/>
        <w:jc w:val="both"/>
        <w:rPr>
          <w:rFonts w:ascii="Times New Roman" w:eastAsia="Times New Roman" w:hAnsi="Times New Roman" w:cs="Times New Roman"/>
          <w:color w:val="000000"/>
          <w:sz w:val="14"/>
          <w:szCs w:val="14"/>
          <w:lang w:val="en-US" w:eastAsia="en-IN"/>
        </w:rPr>
      </w:pPr>
      <w:r w:rsidRPr="00A7589C">
        <w:rPr>
          <w:rFonts w:ascii="Times New Roman" w:eastAsia="Times New Roman" w:hAnsi="Times New Roman" w:cs="Times New Roman"/>
          <w:color w:val="000000"/>
          <w:sz w:val="14"/>
          <w:szCs w:val="14"/>
          <w:lang w:val="en-US" w:eastAsia="en-IN"/>
        </w:rPr>
        <w:lastRenderedPageBreak/>
        <w:t> </w:t>
      </w:r>
    </w:p>
    <w:p w:rsidR="00F87492" w:rsidRDefault="00F87492" w:rsidP="00A7589C">
      <w:pPr>
        <w:spacing w:line="209" w:lineRule="atLeast"/>
        <w:ind w:left="360" w:hanging="360"/>
        <w:jc w:val="both"/>
        <w:rPr>
          <w:rFonts w:ascii="Times New Roman" w:eastAsia="Times New Roman" w:hAnsi="Times New Roman" w:cs="Times New Roman"/>
          <w:color w:val="000000"/>
          <w:sz w:val="14"/>
          <w:szCs w:val="14"/>
          <w:lang w:val="en-US" w:eastAsia="en-IN"/>
        </w:rPr>
      </w:pPr>
    </w:p>
    <w:p w:rsidR="00F87492" w:rsidRDefault="00F87492" w:rsidP="00A7589C">
      <w:pPr>
        <w:spacing w:line="209" w:lineRule="atLeast"/>
        <w:ind w:left="360" w:hanging="360"/>
        <w:jc w:val="both"/>
        <w:rPr>
          <w:rFonts w:ascii="Times New Roman" w:eastAsia="Times New Roman" w:hAnsi="Times New Roman" w:cs="Times New Roman"/>
          <w:color w:val="000000"/>
          <w:sz w:val="14"/>
          <w:szCs w:val="14"/>
          <w:lang w:val="en-US" w:eastAsia="en-IN"/>
        </w:rPr>
      </w:pPr>
    </w:p>
    <w:p w:rsidR="00F87492" w:rsidRDefault="00F87492" w:rsidP="00A7589C">
      <w:pPr>
        <w:spacing w:line="209" w:lineRule="atLeast"/>
        <w:ind w:left="360" w:hanging="360"/>
        <w:jc w:val="both"/>
        <w:rPr>
          <w:rFonts w:ascii="Times New Roman" w:eastAsia="Times New Roman" w:hAnsi="Times New Roman" w:cs="Times New Roman"/>
          <w:color w:val="000000"/>
          <w:sz w:val="14"/>
          <w:szCs w:val="14"/>
          <w:lang w:val="en-US" w:eastAsia="en-IN"/>
        </w:rPr>
      </w:pPr>
    </w:p>
    <w:p w:rsidR="00F87492" w:rsidRPr="00A7589C" w:rsidRDefault="00F87492" w:rsidP="00F87492">
      <w:pPr>
        <w:spacing w:line="209" w:lineRule="atLeast"/>
        <w:ind w:left="360" w:hanging="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Delivery Site:</w:t>
      </w:r>
      <w:r w:rsidRPr="00A7589C">
        <w:rPr>
          <w:rFonts w:ascii="Roboto-Medium-webfont" w:eastAsia="Times New Roman" w:hAnsi="Roboto-Medium-webfont" w:cs="Times New Roman"/>
          <w:color w:val="000000"/>
          <w:sz w:val="20"/>
          <w:szCs w:val="20"/>
          <w:lang w:val="en-US" w:eastAsia="en-IN"/>
        </w:rPr>
        <w:t xml:space="preserve"> Delivery F.O.R. CSIR </w:t>
      </w:r>
      <w:proofErr w:type="spellStart"/>
      <w:r w:rsidRPr="00A7589C">
        <w:rPr>
          <w:rFonts w:ascii="Roboto-Medium-webfont" w:eastAsia="Times New Roman" w:hAnsi="Roboto-Medium-webfont" w:cs="Times New Roman"/>
          <w:color w:val="000000"/>
          <w:sz w:val="20"/>
          <w:szCs w:val="20"/>
          <w:lang w:val="en-US" w:eastAsia="en-IN"/>
        </w:rPr>
        <w:t>Jadavpur</w:t>
      </w:r>
      <w:proofErr w:type="spellEnd"/>
      <w:r w:rsidRPr="00A7589C">
        <w:rPr>
          <w:rFonts w:ascii="Roboto-Medium-webfont" w:eastAsia="Times New Roman" w:hAnsi="Roboto-Medium-webfont" w:cs="Times New Roman"/>
          <w:color w:val="000000"/>
          <w:sz w:val="20"/>
          <w:szCs w:val="20"/>
          <w:lang w:val="en-US" w:eastAsia="en-IN"/>
        </w:rPr>
        <w:t xml:space="preserve"> Campus</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line="209" w:lineRule="atLeast"/>
        <w:ind w:left="360" w:hanging="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2.</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Installation and Commissioning:</w:t>
      </w:r>
      <w:r w:rsidRPr="00A7589C">
        <w:rPr>
          <w:rFonts w:ascii="Roboto-Medium-webfont" w:eastAsia="Times New Roman" w:hAnsi="Roboto-Medium-webfont" w:cs="Times New Roman"/>
          <w:color w:val="000000"/>
          <w:sz w:val="20"/>
          <w:szCs w:val="20"/>
          <w:lang w:val="en-US" w:eastAsia="en-IN"/>
        </w:rPr>
        <w:t> To be installed at site by the supplier within the delivery period. The supplier shall also have to impart necessary training for effective operation and maintenance of the goods.</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line="209" w:lineRule="atLeast"/>
        <w:ind w:left="360" w:hanging="360"/>
        <w:jc w:val="both"/>
        <w:rPr>
          <w:rFonts w:ascii="Roboto-Medium-webfont" w:eastAsia="Times New Roman" w:hAnsi="Roboto-Medium-webfont" w:cs="Times New Roman"/>
          <w:color w:val="000000"/>
          <w:sz w:val="20"/>
          <w:szCs w:val="20"/>
          <w:lang w:val="en-US" w:eastAsia="en-IN"/>
        </w:rPr>
      </w:pPr>
      <w:r w:rsidRPr="00A7589C">
        <w:rPr>
          <w:rFonts w:ascii="Roboto-Medium-webfont" w:eastAsia="Times New Roman" w:hAnsi="Roboto-Medium-webfont" w:cs="Times New Roman"/>
          <w:b/>
          <w:bCs/>
          <w:color w:val="000000"/>
          <w:sz w:val="20"/>
          <w:szCs w:val="20"/>
          <w:lang w:val="en-US" w:eastAsia="en-IN"/>
        </w:rPr>
        <w:t>3.</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color w:val="000000"/>
          <w:sz w:val="20"/>
          <w:szCs w:val="20"/>
          <w:lang w:val="en-US" w:eastAsia="en-IN"/>
        </w:rPr>
        <w:t> </w:t>
      </w:r>
      <w:r w:rsidRPr="00A7589C">
        <w:rPr>
          <w:rFonts w:ascii="Roboto-Medium-webfont" w:eastAsia="Times New Roman" w:hAnsi="Roboto-Medium-webfont" w:cs="Times New Roman"/>
          <w:b/>
          <w:bCs/>
          <w:color w:val="000000"/>
          <w:sz w:val="20"/>
          <w:szCs w:val="20"/>
          <w:lang w:val="en-US" w:eastAsia="en-IN"/>
        </w:rPr>
        <w:t>Warranty:</w:t>
      </w:r>
      <w:r>
        <w:rPr>
          <w:rFonts w:ascii="Roboto-Medium-webfont" w:eastAsia="Times New Roman" w:hAnsi="Roboto-Medium-webfont" w:cs="Times New Roman"/>
          <w:color w:val="000000"/>
          <w:sz w:val="20"/>
          <w:szCs w:val="20"/>
          <w:lang w:val="en-US" w:eastAsia="en-IN"/>
        </w:rPr>
        <w:t> 5</w:t>
      </w:r>
      <w:r w:rsidRPr="00A7589C">
        <w:rPr>
          <w:rFonts w:ascii="Roboto-Medium-webfont" w:eastAsia="Times New Roman" w:hAnsi="Roboto-Medium-webfont" w:cs="Times New Roman"/>
          <w:color w:val="000000"/>
          <w:sz w:val="20"/>
          <w:szCs w:val="20"/>
          <w:lang w:val="en-US" w:eastAsia="en-IN"/>
        </w:rPr>
        <w:t xml:space="preserve"> (</w:t>
      </w:r>
      <w:r>
        <w:rPr>
          <w:rFonts w:ascii="Roboto-Medium-webfont" w:eastAsia="Times New Roman" w:hAnsi="Roboto-Medium-webfont" w:cs="Times New Roman"/>
          <w:color w:val="000000"/>
          <w:sz w:val="20"/>
          <w:szCs w:val="20"/>
          <w:lang w:val="en-US" w:eastAsia="en-IN"/>
        </w:rPr>
        <w:t>Five</w:t>
      </w:r>
      <w:r w:rsidRPr="00A7589C">
        <w:rPr>
          <w:rFonts w:ascii="Roboto-Medium-webfont" w:eastAsia="Times New Roman" w:hAnsi="Roboto-Medium-webfont" w:cs="Times New Roman"/>
          <w:color w:val="000000"/>
          <w:sz w:val="20"/>
          <w:szCs w:val="20"/>
          <w:lang w:val="en-US" w:eastAsia="en-IN"/>
        </w:rPr>
        <w:t>) years from the date of successful installation and commissioning.</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lastRenderedPageBreak/>
        <w:t> </w:t>
      </w:r>
    </w:p>
    <w:p w:rsidR="00F87492" w:rsidRDefault="00F87492" w:rsidP="00F87492">
      <w:pPr>
        <w:spacing w:line="209" w:lineRule="atLeast"/>
        <w:ind w:left="360" w:hanging="360"/>
        <w:jc w:val="both"/>
        <w:rPr>
          <w:rFonts w:ascii="Roboto-Medium-webfont" w:eastAsia="Times New Roman" w:hAnsi="Roboto-Medium-webfont" w:cs="Times New Roman"/>
          <w:color w:val="000000"/>
          <w:sz w:val="20"/>
          <w:szCs w:val="20"/>
          <w:lang w:val="en-US" w:eastAsia="en-IN"/>
        </w:rPr>
      </w:pPr>
      <w:r w:rsidRPr="00A7589C">
        <w:rPr>
          <w:rFonts w:ascii="Roboto-Medium-webfont" w:eastAsia="Times New Roman" w:hAnsi="Roboto-Medium-webfont" w:cs="Times New Roman"/>
          <w:b/>
          <w:bCs/>
          <w:color w:val="000000"/>
          <w:sz w:val="20"/>
          <w:szCs w:val="20"/>
          <w:lang w:val="en-US" w:eastAsia="en-IN"/>
        </w:rPr>
        <w:t>4.</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Catalogue/Leaflet/Brochure:</w:t>
      </w:r>
      <w:r w:rsidRPr="00A7589C">
        <w:rPr>
          <w:rFonts w:ascii="Roboto-Medium-webfont" w:eastAsia="Times New Roman" w:hAnsi="Roboto-Medium-webfont" w:cs="Times New Roman"/>
          <w:color w:val="000000"/>
          <w:sz w:val="20"/>
          <w:szCs w:val="20"/>
          <w:lang w:val="en-US" w:eastAsia="en-IN"/>
        </w:rPr>
        <w:t> Catalogue / Leaflet / Brochure may be asked from the bidder to justify the specification/feature of their offered equipment.</w:t>
      </w:r>
    </w:p>
    <w:p w:rsidR="00F87492" w:rsidRPr="00A7589C" w:rsidRDefault="00F87492" w:rsidP="00F87492">
      <w:pPr>
        <w:spacing w:line="209" w:lineRule="atLeast"/>
        <w:jc w:val="both"/>
        <w:rPr>
          <w:rFonts w:ascii="Roboto-Medium-webfont" w:eastAsia="Times New Roman" w:hAnsi="Roboto-Medium-webfont" w:cs="Times New Roman"/>
          <w:color w:val="000000"/>
          <w:sz w:val="20"/>
          <w:szCs w:val="20"/>
          <w:lang w:eastAsia="en-IN"/>
        </w:rPr>
      </w:pP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line="209" w:lineRule="atLeast"/>
        <w:ind w:left="360" w:hanging="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5.</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Certificate/Declaration required:</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 </w:t>
      </w:r>
    </w:p>
    <w:p w:rsidR="00F87492" w:rsidRPr="00A7589C" w:rsidRDefault="00F87492" w:rsidP="00F87492">
      <w:pPr>
        <w:spacing w:line="209" w:lineRule="atLeast"/>
        <w:ind w:left="360" w:hanging="142"/>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I.</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 xml:space="preserve">Make </w:t>
      </w:r>
      <w:proofErr w:type="gramStart"/>
      <w:r w:rsidRPr="00A7589C">
        <w:rPr>
          <w:rFonts w:ascii="Roboto-Medium-webfont" w:eastAsia="Times New Roman" w:hAnsi="Roboto-Medium-webfont" w:cs="Times New Roman"/>
          <w:b/>
          <w:bCs/>
          <w:color w:val="000000"/>
          <w:sz w:val="20"/>
          <w:szCs w:val="20"/>
          <w:lang w:val="en-US" w:eastAsia="en-IN"/>
        </w:rPr>
        <w:t>In</w:t>
      </w:r>
      <w:proofErr w:type="gramEnd"/>
      <w:r w:rsidRPr="00A7589C">
        <w:rPr>
          <w:rFonts w:ascii="Roboto-Medium-webfont" w:eastAsia="Times New Roman" w:hAnsi="Roboto-Medium-webfont" w:cs="Times New Roman"/>
          <w:b/>
          <w:bCs/>
          <w:color w:val="000000"/>
          <w:sz w:val="20"/>
          <w:szCs w:val="20"/>
          <w:lang w:val="en-US" w:eastAsia="en-IN"/>
        </w:rPr>
        <w:t xml:space="preserve"> India:</w:t>
      </w:r>
      <w:r w:rsidRPr="00A7589C">
        <w:rPr>
          <w:rFonts w:ascii="Roboto-Medium-webfont" w:eastAsia="Times New Roman" w:hAnsi="Roboto-Medium-webfont" w:cs="Times New Roman"/>
          <w:color w:val="000000"/>
          <w:sz w:val="20"/>
          <w:szCs w:val="20"/>
          <w:lang w:val="en-US" w:eastAsia="en-IN"/>
        </w:rPr>
        <w:t> The Bidder must furnish a “Make In India” declaration/Certificate issued by the Manufacturer of the offered product. Such Declaration should indicate about the class/category (Class I- or II) in which the offered product/s fall as well as the percentage of Local Input of the offered product and the detailed address of the place (manufacturing unit) where the input is being added The Declaration/Certificate should have full name and designation of the signatory along with his/her email ID, direct phone number, office address. MII declaration, if not issued by the manufacturer or incomplete in nature, shall not be considered as an eligible MII Document and in such event the bid shall be treated as non-responsive.</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line="209" w:lineRule="atLeast"/>
        <w:ind w:left="360" w:hanging="284"/>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II.</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MSE:</w:t>
      </w:r>
      <w:r w:rsidRPr="00A7589C">
        <w:rPr>
          <w:rFonts w:ascii="Roboto-Medium-webfont" w:eastAsia="Times New Roman" w:hAnsi="Roboto-Medium-webfont" w:cs="Times New Roman"/>
          <w:color w:val="000000"/>
          <w:sz w:val="20"/>
          <w:szCs w:val="20"/>
          <w:lang w:val="en-US" w:eastAsia="en-IN"/>
        </w:rPr>
        <w:t xml:space="preserve"> The bidder who is the manufacturer of the offered item may submit valid documents for claiming them as eligible </w:t>
      </w:r>
      <w:proofErr w:type="spellStart"/>
      <w:r w:rsidRPr="00A7589C">
        <w:rPr>
          <w:rFonts w:ascii="Roboto-Medium-webfont" w:eastAsia="Times New Roman" w:hAnsi="Roboto-Medium-webfont" w:cs="Times New Roman"/>
          <w:color w:val="000000"/>
          <w:sz w:val="20"/>
          <w:szCs w:val="20"/>
          <w:lang w:val="en-US" w:eastAsia="en-IN"/>
        </w:rPr>
        <w:t>MSEs.</w:t>
      </w:r>
      <w:proofErr w:type="spellEnd"/>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line="209" w:lineRule="atLeast"/>
        <w:ind w:left="360" w:hanging="284"/>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III.</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Land Border Sharing Certificate [GFR 144 (xi)]</w:t>
      </w:r>
      <w:r w:rsidRPr="00A7589C">
        <w:rPr>
          <w:rFonts w:ascii="Roboto-Medium-webfont" w:eastAsia="Times New Roman" w:hAnsi="Roboto-Medium-webfont" w:cs="Times New Roman"/>
          <w:color w:val="000000"/>
          <w:sz w:val="20"/>
          <w:szCs w:val="20"/>
          <w:lang w:val="en-US" w:eastAsia="en-IN"/>
        </w:rPr>
        <w:t>: Certificate/declaration reg. Land Border Sharing is compulsory. Any bidder from a country which shares a land border with India will be eligible to bid in this tender only if the bidder is registered with the Competent Authority. While participating in bid, Bidder has to undertake compliance of this, failing which the bid shall be treated as non-responsive. Any false declaration and non-compliance of this guidelines, if found at a later stage, would be a ground for immediate termination of the contract and further legal action in accordance with the laws.</w:t>
      </w:r>
    </w:p>
    <w:p w:rsidR="00F87492" w:rsidRPr="00A7589C" w:rsidRDefault="00F87492" w:rsidP="00F87492">
      <w:pPr>
        <w:spacing w:after="150" w:line="240" w:lineRule="auto"/>
        <w:ind w:left="1080"/>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Pr="00A7589C" w:rsidRDefault="00F87492" w:rsidP="00F87492">
      <w:pPr>
        <w:spacing w:line="209" w:lineRule="atLeast"/>
        <w:ind w:left="360" w:hanging="284"/>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b/>
          <w:bCs/>
          <w:color w:val="000000"/>
          <w:sz w:val="20"/>
          <w:szCs w:val="20"/>
          <w:lang w:val="en-US" w:eastAsia="en-IN"/>
        </w:rPr>
        <w:t>IV.</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OEM Certificate (applicable for manufacturer only):</w:t>
      </w:r>
      <w:r w:rsidRPr="00A7589C">
        <w:rPr>
          <w:rFonts w:ascii="Roboto-Medium-webfont" w:eastAsia="Times New Roman" w:hAnsi="Roboto-Medium-webfont" w:cs="Times New Roman"/>
          <w:color w:val="000000"/>
          <w:sz w:val="20"/>
          <w:szCs w:val="20"/>
          <w:lang w:val="en-US" w:eastAsia="en-IN"/>
        </w:rPr>
        <w:t> In case the Bidder is the OEM, a declaration to this effect must be attached along with the offer. This certificate with valid date must contain Name, Designation, Email Address and Mobile Phone Number of the authorized signatory along with the address of the office.</w:t>
      </w: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Default="00F87492" w:rsidP="00F87492">
      <w:pPr>
        <w:spacing w:line="209" w:lineRule="atLeast"/>
        <w:ind w:left="360" w:hanging="284"/>
        <w:jc w:val="both"/>
        <w:rPr>
          <w:rFonts w:ascii="Roboto-Medium-webfont" w:eastAsia="Times New Roman" w:hAnsi="Roboto-Medium-webfont" w:cs="Times New Roman"/>
          <w:color w:val="000000"/>
          <w:sz w:val="20"/>
          <w:szCs w:val="20"/>
          <w:lang w:val="en-US" w:eastAsia="en-IN"/>
        </w:rPr>
      </w:pPr>
      <w:r w:rsidRPr="00A7589C">
        <w:rPr>
          <w:rFonts w:ascii="Roboto-Medium-webfont" w:eastAsia="Times New Roman" w:hAnsi="Roboto-Medium-webfont" w:cs="Times New Roman"/>
          <w:b/>
          <w:bCs/>
          <w:color w:val="000000"/>
          <w:sz w:val="20"/>
          <w:szCs w:val="20"/>
          <w:lang w:val="en-US" w:eastAsia="en-IN"/>
        </w:rPr>
        <w:t>V.</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b/>
          <w:bCs/>
          <w:color w:val="000000"/>
          <w:sz w:val="20"/>
          <w:szCs w:val="20"/>
          <w:lang w:val="en-US" w:eastAsia="en-IN"/>
        </w:rPr>
        <w:t>MAF Certificate (applicable for dealer only):</w:t>
      </w:r>
      <w:r w:rsidRPr="00A7589C">
        <w:rPr>
          <w:rFonts w:ascii="Roboto-Medium-webfont" w:eastAsia="Times New Roman" w:hAnsi="Roboto-Medium-webfont" w:cs="Times New Roman"/>
          <w:color w:val="000000"/>
          <w:sz w:val="20"/>
          <w:szCs w:val="20"/>
          <w:lang w:val="en-US" w:eastAsia="en-IN"/>
        </w:rPr>
        <w:t xml:space="preserve"> In case the Bidder is offering products on behalf of the OEM, a Tender/Bid specific Manufacturer’s Authorization Certificate (MAF) issued by the manufacturer in </w:t>
      </w:r>
      <w:proofErr w:type="spellStart"/>
      <w:r w:rsidRPr="00A7589C">
        <w:rPr>
          <w:rFonts w:ascii="Roboto-Medium-webfont" w:eastAsia="Times New Roman" w:hAnsi="Roboto-Medium-webfont" w:cs="Times New Roman"/>
          <w:color w:val="000000"/>
          <w:sz w:val="20"/>
          <w:szCs w:val="20"/>
          <w:lang w:val="en-US" w:eastAsia="en-IN"/>
        </w:rPr>
        <w:t>favour</w:t>
      </w:r>
      <w:proofErr w:type="spellEnd"/>
      <w:r w:rsidRPr="00A7589C">
        <w:rPr>
          <w:rFonts w:ascii="Roboto-Medium-webfont" w:eastAsia="Times New Roman" w:hAnsi="Roboto-Medium-webfont" w:cs="Times New Roman"/>
          <w:color w:val="000000"/>
          <w:sz w:val="20"/>
          <w:szCs w:val="20"/>
          <w:lang w:val="en-US" w:eastAsia="en-IN"/>
        </w:rPr>
        <w:t xml:space="preserve"> of the bidder is required to be attached along with the quotation. The certificate should contain Name, Designation, Email Address and Mobile Phone Number of the authorized signatory along with the address of the office. MAF Certificate, if not bid specific or not covering these points, shall not be considered as an eligible MAF document and in such event the bid shall be treated as non-responsive.</w:t>
      </w:r>
    </w:p>
    <w:p w:rsidR="00F87492" w:rsidRDefault="00F87492" w:rsidP="00F87492">
      <w:pPr>
        <w:spacing w:line="209" w:lineRule="atLeast"/>
        <w:ind w:left="360" w:hanging="284"/>
        <w:jc w:val="both"/>
        <w:rPr>
          <w:rFonts w:ascii="Roboto-Medium-webfont" w:eastAsia="Times New Roman" w:hAnsi="Roboto-Medium-webfont" w:cs="Times New Roman"/>
          <w:color w:val="000000"/>
          <w:sz w:val="20"/>
          <w:szCs w:val="20"/>
          <w:lang w:eastAsia="en-IN"/>
        </w:rPr>
      </w:pPr>
    </w:p>
    <w:p w:rsidR="00F87492" w:rsidRPr="00A42755" w:rsidRDefault="00F87492" w:rsidP="00F87492">
      <w:pPr>
        <w:spacing w:after="0" w:line="209" w:lineRule="atLeast"/>
        <w:ind w:left="360" w:hanging="360"/>
        <w:jc w:val="both"/>
        <w:rPr>
          <w:rFonts w:eastAsia="Times New Roman" w:cstheme="minorHAnsi"/>
          <w:bCs/>
          <w:color w:val="000000"/>
          <w:sz w:val="20"/>
          <w:szCs w:val="20"/>
          <w:lang w:val="en-US" w:eastAsia="en-IN"/>
        </w:rPr>
      </w:pPr>
      <w:r>
        <w:rPr>
          <w:rFonts w:ascii="Roboto-Medium-webfont" w:eastAsia="Times New Roman" w:hAnsi="Roboto-Medium-webfont" w:cs="Times New Roman"/>
          <w:color w:val="000000"/>
          <w:sz w:val="20"/>
          <w:szCs w:val="20"/>
          <w:lang w:eastAsia="en-IN"/>
        </w:rPr>
        <w:t>VI.</w:t>
      </w:r>
      <w:r w:rsidRPr="00F01440">
        <w:rPr>
          <w:rFonts w:eastAsia="Times New Roman" w:cstheme="minorHAnsi"/>
          <w:color w:val="000000"/>
          <w:sz w:val="20"/>
          <w:szCs w:val="20"/>
          <w:lang w:val="en-US" w:eastAsia="en-IN"/>
        </w:rPr>
        <w:t> </w:t>
      </w:r>
      <w:r>
        <w:rPr>
          <w:rFonts w:eastAsia="Times New Roman" w:cstheme="minorHAnsi"/>
          <w:b/>
          <w:bCs/>
          <w:color w:val="000000"/>
          <w:sz w:val="20"/>
          <w:szCs w:val="20"/>
          <w:lang w:val="en-US" w:eastAsia="en-IN"/>
        </w:rPr>
        <w:t xml:space="preserve">CSIR Guidelines on Disposal of Rejected Goods Procured on </w:t>
      </w:r>
      <w:proofErr w:type="spellStart"/>
      <w:r>
        <w:rPr>
          <w:rFonts w:eastAsia="Times New Roman" w:cstheme="minorHAnsi"/>
          <w:b/>
          <w:bCs/>
          <w:color w:val="000000"/>
          <w:sz w:val="20"/>
          <w:szCs w:val="20"/>
          <w:lang w:val="en-US" w:eastAsia="en-IN"/>
        </w:rPr>
        <w:t>GeM</w:t>
      </w:r>
      <w:proofErr w:type="spellEnd"/>
      <w:r>
        <w:rPr>
          <w:rFonts w:eastAsia="Times New Roman" w:cstheme="minorHAnsi"/>
          <w:b/>
          <w:bCs/>
          <w:color w:val="000000"/>
          <w:sz w:val="20"/>
          <w:szCs w:val="20"/>
          <w:lang w:val="en-US" w:eastAsia="en-IN"/>
        </w:rPr>
        <w:t xml:space="preserve">- </w:t>
      </w:r>
      <w:r>
        <w:rPr>
          <w:rFonts w:eastAsia="Times New Roman" w:cstheme="minorHAnsi"/>
          <w:bCs/>
          <w:color w:val="000000"/>
          <w:sz w:val="20"/>
          <w:szCs w:val="20"/>
          <w:lang w:val="en-US" w:eastAsia="en-IN"/>
        </w:rPr>
        <w:t xml:space="preserve">No payment shall be made for rejected goods. After intimation </w:t>
      </w:r>
      <w:proofErr w:type="spellStart"/>
      <w:r>
        <w:rPr>
          <w:rFonts w:eastAsia="Times New Roman" w:cstheme="minorHAnsi"/>
          <w:bCs/>
          <w:color w:val="000000"/>
          <w:sz w:val="20"/>
          <w:szCs w:val="20"/>
          <w:lang w:val="en-US" w:eastAsia="en-IN"/>
        </w:rPr>
        <w:t>ofo</w:t>
      </w:r>
      <w:proofErr w:type="spellEnd"/>
      <w:r>
        <w:rPr>
          <w:rFonts w:eastAsia="Times New Roman" w:cstheme="minorHAnsi"/>
          <w:bCs/>
          <w:color w:val="000000"/>
          <w:sz w:val="20"/>
          <w:szCs w:val="20"/>
          <w:lang w:val="en-US" w:eastAsia="en-IN"/>
        </w:rPr>
        <w:t xml:space="preserve"> the rejection / part rejection by CSIR-IICB, the Seller shall be liable to remove /lift back rejected Goods within 10days of communication of rejection of </w:t>
      </w:r>
      <w:proofErr w:type="spellStart"/>
      <w:r>
        <w:rPr>
          <w:rFonts w:eastAsia="Times New Roman" w:cstheme="minorHAnsi"/>
          <w:bCs/>
          <w:color w:val="000000"/>
          <w:sz w:val="20"/>
          <w:szCs w:val="20"/>
          <w:lang w:val="en-US" w:eastAsia="en-IN"/>
        </w:rPr>
        <w:t>GeM</w:t>
      </w:r>
      <w:proofErr w:type="spellEnd"/>
      <w:r>
        <w:rPr>
          <w:rFonts w:eastAsia="Times New Roman" w:cstheme="minorHAnsi"/>
          <w:bCs/>
          <w:color w:val="000000"/>
          <w:sz w:val="20"/>
          <w:szCs w:val="20"/>
          <w:lang w:val="en-US" w:eastAsia="en-IN"/>
        </w:rPr>
        <w:t xml:space="preserve"> or otherwise without any extra charge / cost to CSIR-IICB failing which suitable ground rent / warehousing charges would be payable by the Seller to CSIR-IICB. If the seller fails to remove / lift back such rejected Goods within 45 </w:t>
      </w:r>
      <w:proofErr w:type="gramStart"/>
      <w:r>
        <w:rPr>
          <w:rFonts w:eastAsia="Times New Roman" w:cstheme="minorHAnsi"/>
          <w:bCs/>
          <w:color w:val="000000"/>
          <w:sz w:val="20"/>
          <w:szCs w:val="20"/>
          <w:lang w:val="en-US" w:eastAsia="en-IN"/>
        </w:rPr>
        <w:t>days</w:t>
      </w:r>
      <w:proofErr w:type="gramEnd"/>
      <w:r>
        <w:rPr>
          <w:rFonts w:eastAsia="Times New Roman" w:cstheme="minorHAnsi"/>
          <w:bCs/>
          <w:color w:val="000000"/>
          <w:sz w:val="20"/>
          <w:szCs w:val="20"/>
          <w:lang w:val="en-US" w:eastAsia="en-IN"/>
        </w:rPr>
        <w:t xml:space="preserve"> period, CSIR-IICB shall have the right to dispose </w:t>
      </w:r>
      <w:proofErr w:type="spellStart"/>
      <w:r>
        <w:rPr>
          <w:rFonts w:eastAsia="Times New Roman" w:cstheme="minorHAnsi"/>
          <w:bCs/>
          <w:color w:val="000000"/>
          <w:sz w:val="20"/>
          <w:szCs w:val="20"/>
          <w:lang w:val="en-US" w:eastAsia="en-IN"/>
        </w:rPr>
        <w:t>off</w:t>
      </w:r>
      <w:proofErr w:type="spellEnd"/>
      <w:r>
        <w:rPr>
          <w:rFonts w:eastAsia="Times New Roman" w:cstheme="minorHAnsi"/>
          <w:bCs/>
          <w:color w:val="000000"/>
          <w:sz w:val="20"/>
          <w:szCs w:val="20"/>
          <w:lang w:val="en-US" w:eastAsia="en-IN"/>
        </w:rPr>
        <w:t xml:space="preserve"> such rejected goods at the risk and cost of the seller in terms of CSIR guidelines for disposal of rejected goods procured on </w:t>
      </w:r>
      <w:proofErr w:type="spellStart"/>
      <w:r>
        <w:rPr>
          <w:rFonts w:eastAsia="Times New Roman" w:cstheme="minorHAnsi"/>
          <w:bCs/>
          <w:color w:val="000000"/>
          <w:sz w:val="20"/>
          <w:szCs w:val="20"/>
          <w:lang w:val="en-US" w:eastAsia="en-IN"/>
        </w:rPr>
        <w:t>GeM</w:t>
      </w:r>
      <w:proofErr w:type="spellEnd"/>
      <w:r>
        <w:rPr>
          <w:rFonts w:eastAsia="Times New Roman" w:cstheme="minorHAnsi"/>
          <w:bCs/>
          <w:color w:val="000000"/>
          <w:sz w:val="20"/>
          <w:szCs w:val="20"/>
          <w:lang w:val="en-US" w:eastAsia="en-IN"/>
        </w:rPr>
        <w:t>.</w:t>
      </w:r>
    </w:p>
    <w:p w:rsidR="00F87492" w:rsidRPr="00A7589C" w:rsidRDefault="00F87492" w:rsidP="00F87492">
      <w:pPr>
        <w:spacing w:line="209" w:lineRule="atLeast"/>
        <w:ind w:left="360" w:hanging="284"/>
        <w:jc w:val="both"/>
        <w:rPr>
          <w:rFonts w:ascii="Roboto-Medium-webfont" w:eastAsia="Times New Roman" w:hAnsi="Roboto-Medium-webfont" w:cs="Times New Roman"/>
          <w:color w:val="000000"/>
          <w:sz w:val="20"/>
          <w:szCs w:val="20"/>
          <w:lang w:eastAsia="en-IN"/>
        </w:rPr>
      </w:pPr>
    </w:p>
    <w:p w:rsidR="00F87492" w:rsidRPr="00A7589C" w:rsidRDefault="00F87492" w:rsidP="00F87492">
      <w:pPr>
        <w:spacing w:after="150" w:line="240" w:lineRule="auto"/>
        <w:ind w:left="360"/>
        <w:jc w:val="both"/>
        <w:rPr>
          <w:rFonts w:ascii="Roboto-Medium-webfont" w:eastAsia="Times New Roman" w:hAnsi="Roboto-Medium-webfont" w:cs="Times New Roman"/>
          <w:color w:val="000000"/>
          <w:sz w:val="20"/>
          <w:szCs w:val="20"/>
          <w:lang w:eastAsia="en-IN"/>
        </w:rPr>
      </w:pPr>
      <w:r w:rsidRPr="00A7589C">
        <w:rPr>
          <w:rFonts w:ascii="Roboto-Medium-webfont" w:eastAsia="Times New Roman" w:hAnsi="Roboto-Medium-webfont" w:cs="Times New Roman"/>
          <w:color w:val="000000"/>
          <w:sz w:val="20"/>
          <w:szCs w:val="20"/>
          <w:lang w:val="en-US" w:eastAsia="en-IN"/>
        </w:rPr>
        <w:t> </w:t>
      </w:r>
    </w:p>
    <w:p w:rsidR="00F87492" w:rsidRDefault="00F87492" w:rsidP="00F87492">
      <w:pPr>
        <w:spacing w:line="209" w:lineRule="atLeast"/>
        <w:ind w:left="360" w:hanging="284"/>
        <w:jc w:val="both"/>
        <w:rPr>
          <w:rFonts w:ascii="Roboto-Medium-webfont" w:eastAsia="Times New Roman" w:hAnsi="Roboto-Medium-webfont" w:cs="Times New Roman"/>
          <w:b/>
          <w:bCs/>
          <w:color w:val="000000"/>
          <w:sz w:val="20"/>
          <w:szCs w:val="20"/>
          <w:lang w:val="en-US" w:eastAsia="en-IN"/>
        </w:rPr>
      </w:pPr>
      <w:r w:rsidRPr="00A7589C">
        <w:rPr>
          <w:rFonts w:ascii="Roboto-Medium-webfont" w:eastAsia="Times New Roman" w:hAnsi="Roboto-Medium-webfont" w:cs="Times New Roman"/>
          <w:b/>
          <w:bCs/>
          <w:color w:val="000000"/>
          <w:sz w:val="20"/>
          <w:szCs w:val="20"/>
          <w:lang w:val="en-US" w:eastAsia="en-IN"/>
        </w:rPr>
        <w:t>VI</w:t>
      </w:r>
      <w:r>
        <w:rPr>
          <w:rFonts w:ascii="Roboto-Medium-webfont" w:eastAsia="Times New Roman" w:hAnsi="Roboto-Medium-webfont" w:cs="Times New Roman"/>
          <w:b/>
          <w:bCs/>
          <w:color w:val="000000"/>
          <w:sz w:val="20"/>
          <w:szCs w:val="20"/>
          <w:lang w:val="en-US" w:eastAsia="en-IN"/>
        </w:rPr>
        <w:t>I</w:t>
      </w:r>
      <w:r w:rsidRPr="00A7589C">
        <w:rPr>
          <w:rFonts w:ascii="Roboto-Medium-webfont" w:eastAsia="Times New Roman" w:hAnsi="Roboto-Medium-webfont" w:cs="Times New Roman"/>
          <w:b/>
          <w:bCs/>
          <w:color w:val="000000"/>
          <w:sz w:val="20"/>
          <w:szCs w:val="20"/>
          <w:lang w:val="en-US" w:eastAsia="en-IN"/>
        </w:rPr>
        <w:t>.</w:t>
      </w:r>
      <w:r w:rsidRPr="00A7589C">
        <w:rPr>
          <w:rFonts w:ascii="Times New Roman" w:eastAsia="Times New Roman" w:hAnsi="Times New Roman" w:cs="Times New Roman"/>
          <w:color w:val="000000"/>
          <w:sz w:val="14"/>
          <w:szCs w:val="14"/>
          <w:lang w:val="en-US" w:eastAsia="en-IN"/>
        </w:rPr>
        <w:t>  </w:t>
      </w:r>
      <w:r w:rsidRPr="00A7589C">
        <w:rPr>
          <w:rFonts w:ascii="Roboto-Medium-webfont" w:eastAsia="Times New Roman" w:hAnsi="Roboto-Medium-webfont" w:cs="Times New Roman"/>
          <w:color w:val="000000"/>
          <w:sz w:val="20"/>
          <w:szCs w:val="20"/>
          <w:lang w:val="en-US" w:eastAsia="en-IN"/>
        </w:rPr>
        <w:t> </w:t>
      </w:r>
      <w:r w:rsidRPr="00A7589C">
        <w:rPr>
          <w:rFonts w:ascii="Roboto-Medium-webfont" w:eastAsia="Times New Roman" w:hAnsi="Roboto-Medium-webfont" w:cs="Times New Roman"/>
          <w:b/>
          <w:bCs/>
          <w:color w:val="000000"/>
          <w:sz w:val="20"/>
          <w:szCs w:val="20"/>
          <w:lang w:val="en-US" w:eastAsia="en-IN"/>
        </w:rPr>
        <w:t>Any other certifica</w:t>
      </w:r>
      <w:r>
        <w:rPr>
          <w:rFonts w:ascii="Roboto-Medium-webfont" w:eastAsia="Times New Roman" w:hAnsi="Roboto-Medium-webfont" w:cs="Times New Roman"/>
          <w:b/>
          <w:bCs/>
          <w:color w:val="000000"/>
          <w:sz w:val="20"/>
          <w:szCs w:val="20"/>
          <w:lang w:val="en-US" w:eastAsia="en-IN"/>
        </w:rPr>
        <w:t>te required by the user (if any)</w:t>
      </w:r>
    </w:p>
    <w:p w:rsidR="0020573A" w:rsidRDefault="0020573A" w:rsidP="00A7589C">
      <w:pPr>
        <w:spacing w:line="209" w:lineRule="atLeast"/>
        <w:ind w:left="360" w:hanging="360"/>
        <w:jc w:val="both"/>
        <w:rPr>
          <w:rFonts w:ascii="Times New Roman" w:eastAsia="Times New Roman" w:hAnsi="Times New Roman" w:cs="Times New Roman"/>
          <w:color w:val="000000"/>
          <w:sz w:val="14"/>
          <w:szCs w:val="14"/>
          <w:lang w:val="en-US" w:eastAsia="en-IN"/>
        </w:rPr>
      </w:pPr>
    </w:p>
    <w:p w:rsidR="0020573A" w:rsidRDefault="0020573A" w:rsidP="00A7589C">
      <w:pPr>
        <w:spacing w:line="209" w:lineRule="atLeast"/>
        <w:ind w:left="360" w:hanging="360"/>
        <w:jc w:val="both"/>
        <w:rPr>
          <w:rFonts w:ascii="Times New Roman" w:eastAsia="Times New Roman" w:hAnsi="Times New Roman" w:cs="Times New Roman"/>
          <w:color w:val="000000"/>
          <w:sz w:val="14"/>
          <w:szCs w:val="14"/>
          <w:lang w:val="en-US" w:eastAsia="en-IN"/>
        </w:rPr>
      </w:pPr>
    </w:p>
    <w:p w:rsidR="006C62E5" w:rsidRPr="00A7589C" w:rsidRDefault="006C62E5" w:rsidP="00F87492">
      <w:pPr>
        <w:spacing w:after="150" w:line="240" w:lineRule="auto"/>
        <w:rPr>
          <w:rFonts w:ascii="Roboto-Medium-webfont" w:eastAsia="Times New Roman" w:hAnsi="Roboto-Medium-webfont" w:cs="Times New Roman"/>
          <w:color w:val="000000"/>
          <w:sz w:val="20"/>
          <w:szCs w:val="20"/>
          <w:lang w:eastAsia="en-IN"/>
        </w:rPr>
      </w:pPr>
      <w:bookmarkStart w:id="0" w:name="_GoBack"/>
      <w:bookmarkEnd w:id="0"/>
    </w:p>
    <w:sectPr w:rsidR="006C62E5" w:rsidRPr="00A7589C" w:rsidSect="0020573A">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Medium-web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65FCE"/>
    <w:multiLevelType w:val="hybridMultilevel"/>
    <w:tmpl w:val="0108F774"/>
    <w:lvl w:ilvl="0" w:tplc="E1807516">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A87465"/>
    <w:multiLevelType w:val="hybridMultilevel"/>
    <w:tmpl w:val="54245B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9C"/>
    <w:rsid w:val="00145692"/>
    <w:rsid w:val="0020573A"/>
    <w:rsid w:val="002442A2"/>
    <w:rsid w:val="00284EE0"/>
    <w:rsid w:val="00593C37"/>
    <w:rsid w:val="005A7F75"/>
    <w:rsid w:val="006C62E5"/>
    <w:rsid w:val="00A7589C"/>
    <w:rsid w:val="00BC5D43"/>
    <w:rsid w:val="00F87492"/>
    <w:rsid w:val="00FD1F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70F7"/>
  <w15:chartTrackingRefBased/>
  <w15:docId w15:val="{A9424E16-1BC9-42E0-ABFB-CD68F670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7589C"/>
    <w:pPr>
      <w:ind w:left="720"/>
      <w:contextualSpacing/>
    </w:pPr>
  </w:style>
  <w:style w:type="paragraph" w:customStyle="1" w:styleId="TableParagraph">
    <w:name w:val="Table Paragraph"/>
    <w:basedOn w:val="Normal"/>
    <w:uiPriority w:val="1"/>
    <w:qFormat/>
    <w:rsid w:val="002442A2"/>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Diptesh</dc:creator>
  <cp:keywords/>
  <dc:description/>
  <cp:lastModifiedBy>Dell</cp:lastModifiedBy>
  <cp:revision>10</cp:revision>
  <dcterms:created xsi:type="dcterms:W3CDTF">2025-08-29T06:59:00Z</dcterms:created>
  <dcterms:modified xsi:type="dcterms:W3CDTF">2025-12-18T05:57:00Z</dcterms:modified>
</cp:coreProperties>
</file>